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65BB" w:rsidRPr="00B66656" w:rsidRDefault="00C865BB" w:rsidP="00C865BB">
      <w:pPr>
        <w:jc w:val="center"/>
        <w:rPr>
          <w:rFonts w:ascii="Tahoma" w:hAnsi="Tahoma" w:cs="Tahoma"/>
        </w:rPr>
      </w:pPr>
      <w:r w:rsidRPr="00B66656">
        <w:rPr>
          <w:rFonts w:ascii="Tahoma" w:hAnsi="Tahoma" w:cs="Tahoma"/>
          <w:noProof/>
          <w:lang w:eastAsia="pt-PT"/>
        </w:rPr>
        <w:drawing>
          <wp:inline distT="0" distB="0" distL="0" distR="0" wp14:anchorId="355A71BB" wp14:editId="69C9F011">
            <wp:extent cx="1076325" cy="761365"/>
            <wp:effectExtent l="0" t="0" r="9525" b="63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24643" cy="795544"/>
                    </a:xfrm>
                    <a:prstGeom prst="rect">
                      <a:avLst/>
                    </a:prstGeom>
                    <a:noFill/>
                  </pic:spPr>
                </pic:pic>
              </a:graphicData>
            </a:graphic>
          </wp:inline>
        </w:drawing>
      </w:r>
    </w:p>
    <w:p w:rsidR="00C865BB" w:rsidRPr="00B66656" w:rsidRDefault="00C865BB" w:rsidP="00C865BB">
      <w:pPr>
        <w:spacing w:line="240" w:lineRule="auto"/>
        <w:jc w:val="center"/>
        <w:rPr>
          <w:rFonts w:ascii="Tahoma" w:hAnsi="Tahoma" w:cs="Tahoma"/>
          <w:color w:val="000000" w:themeColor="text1"/>
          <w:sz w:val="32"/>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66656">
        <w:rPr>
          <w:rFonts w:ascii="Tahoma" w:hAnsi="Tahoma" w:cs="Tahoma"/>
          <w:color w:val="000000" w:themeColor="text1"/>
          <w:sz w:val="32"/>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REPÚBLICA DE ANGOLA</w:t>
      </w:r>
    </w:p>
    <w:p w:rsidR="00C865BB" w:rsidRPr="00B66656" w:rsidRDefault="00C865BB" w:rsidP="00C865BB">
      <w:pPr>
        <w:rPr>
          <w:rFonts w:ascii="Tahoma" w:hAnsi="Tahoma" w:cs="Tahoma"/>
        </w:rPr>
      </w:pPr>
    </w:p>
    <w:p w:rsidR="00C865BB" w:rsidRPr="00B66656" w:rsidRDefault="00C865BB" w:rsidP="00C865BB">
      <w:pPr>
        <w:rPr>
          <w:rFonts w:ascii="Tahoma" w:hAnsi="Tahoma" w:cs="Tahoma"/>
        </w:rPr>
      </w:pPr>
    </w:p>
    <w:p w:rsidR="00C865BB" w:rsidRPr="00B66656" w:rsidRDefault="00C865BB" w:rsidP="00C865BB">
      <w:pPr>
        <w:rPr>
          <w:rFonts w:ascii="Tahoma" w:hAnsi="Tahoma" w:cs="Tahoma"/>
        </w:rPr>
      </w:pPr>
    </w:p>
    <w:p w:rsidR="00C865BB" w:rsidRPr="00B66656" w:rsidRDefault="00C865BB" w:rsidP="00C865BB">
      <w:pPr>
        <w:rPr>
          <w:rFonts w:ascii="Tahoma" w:hAnsi="Tahoma" w:cs="Tahoma"/>
        </w:rPr>
      </w:pPr>
    </w:p>
    <w:p w:rsidR="00C865BB" w:rsidRPr="00B66656" w:rsidRDefault="00C865BB" w:rsidP="00C865BB">
      <w:pPr>
        <w:rPr>
          <w:rFonts w:ascii="Tahoma" w:hAnsi="Tahoma" w:cs="Tahoma"/>
        </w:rPr>
      </w:pPr>
    </w:p>
    <w:p w:rsidR="00C865BB" w:rsidRPr="00B66656" w:rsidRDefault="00C865BB" w:rsidP="00C865BB">
      <w:pPr>
        <w:rPr>
          <w:rFonts w:ascii="Tahoma" w:hAnsi="Tahoma" w:cs="Tahoma"/>
        </w:rPr>
      </w:pPr>
      <w:r w:rsidRPr="00B66656">
        <w:rPr>
          <w:rFonts w:ascii="Tahoma" w:hAnsi="Tahoma" w:cs="Tahoma"/>
          <w:noProof/>
          <w:lang w:eastAsia="pt-PT"/>
        </w:rPr>
        <mc:AlternateContent>
          <mc:Choice Requires="wps">
            <w:drawing>
              <wp:anchor distT="0" distB="0" distL="114300" distR="114300" simplePos="0" relativeHeight="251659264" behindDoc="0" locked="0" layoutInCell="1" allowOverlap="1" wp14:anchorId="5611B9A7" wp14:editId="010C2A44">
                <wp:simplePos x="0" y="0"/>
                <wp:positionH relativeFrom="margin">
                  <wp:posOffset>28575</wp:posOffset>
                </wp:positionH>
                <wp:positionV relativeFrom="paragraph">
                  <wp:posOffset>252095</wp:posOffset>
                </wp:positionV>
                <wp:extent cx="5755640" cy="1845310"/>
                <wp:effectExtent l="0" t="0" r="0" b="2540"/>
                <wp:wrapNone/>
                <wp:docPr id="1" name="Caixa de texto 1"/>
                <wp:cNvGraphicFramePr/>
                <a:graphic xmlns:a="http://schemas.openxmlformats.org/drawingml/2006/main">
                  <a:graphicData uri="http://schemas.microsoft.com/office/word/2010/wordprocessingShape">
                    <wps:wsp>
                      <wps:cNvSpPr txBox="1"/>
                      <wps:spPr>
                        <a:xfrm>
                          <a:off x="0" y="0"/>
                          <a:ext cx="5755640" cy="1845310"/>
                        </a:xfrm>
                        <a:prstGeom prst="rect">
                          <a:avLst/>
                        </a:prstGeom>
                        <a:noFill/>
                        <a:ln>
                          <a:noFill/>
                        </a:ln>
                        <a:effectLst/>
                      </wps:spPr>
                      <wps:txbx>
                        <w:txbxContent>
                          <w:p w:rsidR="00C865BB" w:rsidRPr="00CD142C" w:rsidRDefault="00C865BB" w:rsidP="00C865BB">
                            <w:pPr>
                              <w:jc w:val="center"/>
                              <w:rPr>
                                <w:rFonts w:ascii="Tahoma" w:hAnsi="Tahoma" w:cs="Tahoma"/>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Tahoma" w:hAnsi="Tahoma" w:cs="Tahoma"/>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Linhas Mestras para a Definição de uma Estratégia para a Saída da Crise Derivada da Queda do Preço do Petróleo No Mercado Internacional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ixa de texto 1" o:spid="_x0000_s1026" type="#_x0000_t202" style="position:absolute;margin-left:2.25pt;margin-top:19.85pt;width:453.2pt;height:145.3pt;z-index:251659264;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" filled="f" stroked="f">
                <v:textbox>
                  <w:txbxContent>
                    <w:p w:rsidR="00C865BB" w:rsidRPr="00CD142C" w:rsidRDefault="00C865BB" w:rsidP="00C865BB">
                      <w:pPr>
                        <w:jc w:val="center"/>
                        <w:rPr>
                          <w:rFonts w:ascii="Tahoma" w:hAnsi="Tahoma" w:cs="Tahoma"/>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Tahoma" w:hAnsi="Tahoma" w:cs="Tahoma"/>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Linhas Mestras para a Definição de uma Estratégia para a Saída da Crise Derivada da Queda do Preço do Petróleo No Mercado Internacional </w:t>
                      </w:r>
                    </w:p>
                  </w:txbxContent>
                </v:textbox>
                <w10:wrap anchorx="margin"/>
              </v:shape>
            </w:pict>
          </mc:Fallback>
        </mc:AlternateContent>
      </w:r>
    </w:p>
    <w:p w:rsidR="00C865BB" w:rsidRPr="00B66656" w:rsidRDefault="00C865BB" w:rsidP="00C865BB">
      <w:pPr>
        <w:rPr>
          <w:rFonts w:ascii="Tahoma" w:hAnsi="Tahoma" w:cs="Tahoma"/>
        </w:rPr>
      </w:pPr>
    </w:p>
    <w:p w:rsidR="00C865BB" w:rsidRPr="00B66656" w:rsidRDefault="00C865BB" w:rsidP="00C865BB">
      <w:pPr>
        <w:jc w:val="both"/>
        <w:rPr>
          <w:rFonts w:ascii="Tahoma" w:hAnsi="Tahoma" w:cs="Tahoma"/>
        </w:rPr>
      </w:pPr>
    </w:p>
    <w:p w:rsidR="00C865BB" w:rsidRPr="00B66656" w:rsidRDefault="00C865BB" w:rsidP="00C865BB">
      <w:pPr>
        <w:ind w:left="-1701"/>
        <w:jc w:val="both"/>
        <w:rPr>
          <w:rFonts w:ascii="Tahoma" w:hAnsi="Tahoma" w:cs="Tahoma"/>
        </w:rPr>
      </w:pPr>
    </w:p>
    <w:p w:rsidR="00C865BB" w:rsidRPr="00B66656" w:rsidRDefault="00C865BB" w:rsidP="00C865BB">
      <w:pPr>
        <w:jc w:val="both"/>
        <w:rPr>
          <w:rFonts w:ascii="Tahoma" w:hAnsi="Tahoma" w:cs="Tahoma"/>
        </w:rPr>
      </w:pPr>
    </w:p>
    <w:p w:rsidR="00C865BB" w:rsidRPr="00B66656" w:rsidRDefault="00C865BB" w:rsidP="00C865BB">
      <w:pPr>
        <w:jc w:val="both"/>
        <w:rPr>
          <w:rFonts w:ascii="Tahoma" w:hAnsi="Tahoma" w:cs="Tahoma"/>
        </w:rPr>
      </w:pPr>
    </w:p>
    <w:p w:rsidR="00C865BB" w:rsidRPr="00B66656" w:rsidRDefault="00C865BB" w:rsidP="00C865BB">
      <w:pPr>
        <w:jc w:val="both"/>
        <w:rPr>
          <w:rFonts w:ascii="Tahoma" w:hAnsi="Tahoma" w:cs="Tahoma"/>
        </w:rPr>
      </w:pPr>
    </w:p>
    <w:p w:rsidR="00C865BB" w:rsidRPr="00B66656" w:rsidRDefault="00C865BB" w:rsidP="00C865BB">
      <w:pPr>
        <w:jc w:val="both"/>
        <w:rPr>
          <w:rFonts w:ascii="Tahoma" w:hAnsi="Tahoma" w:cs="Tahoma"/>
        </w:rPr>
      </w:pPr>
    </w:p>
    <w:p w:rsidR="00C865BB" w:rsidRPr="00B66656" w:rsidRDefault="00C865BB" w:rsidP="00C865BB">
      <w:pPr>
        <w:jc w:val="both"/>
        <w:rPr>
          <w:rFonts w:ascii="Tahoma" w:hAnsi="Tahoma" w:cs="Tahoma"/>
        </w:rPr>
      </w:pPr>
    </w:p>
    <w:p w:rsidR="00C865BB" w:rsidRPr="00B66656" w:rsidRDefault="00C865BB" w:rsidP="00C865BB">
      <w:pPr>
        <w:jc w:val="both"/>
        <w:rPr>
          <w:rFonts w:ascii="Tahoma" w:hAnsi="Tahoma" w:cs="Tahoma"/>
        </w:rPr>
      </w:pPr>
    </w:p>
    <w:p w:rsidR="00C865BB" w:rsidRPr="00B66656" w:rsidRDefault="00C865BB" w:rsidP="00C865BB">
      <w:pPr>
        <w:jc w:val="both"/>
        <w:rPr>
          <w:rFonts w:ascii="Tahoma" w:hAnsi="Tahoma" w:cs="Tahoma"/>
        </w:rPr>
      </w:pPr>
    </w:p>
    <w:p w:rsidR="00C865BB" w:rsidRPr="00B66656" w:rsidRDefault="00C865BB" w:rsidP="00C865BB">
      <w:pPr>
        <w:jc w:val="center"/>
        <w:rPr>
          <w:rFonts w:ascii="Tahoma" w:hAnsi="Tahoma" w:cs="Tahoma"/>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865BB" w:rsidRPr="00B66656" w:rsidRDefault="00C865BB" w:rsidP="00C865BB">
      <w:pPr>
        <w:jc w:val="center"/>
        <w:rPr>
          <w:rFonts w:ascii="Tahoma" w:hAnsi="Tahoma" w:cs="Tahoma"/>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865BB" w:rsidRPr="00B66656" w:rsidRDefault="00C865BB" w:rsidP="00C865BB">
      <w:pPr>
        <w:jc w:val="center"/>
        <w:rPr>
          <w:rFonts w:ascii="Tahoma" w:hAnsi="Tahoma" w:cs="Tahoma"/>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865BB" w:rsidRPr="00B66656" w:rsidRDefault="00C865BB" w:rsidP="00C865BB">
      <w:pPr>
        <w:jc w:val="center"/>
        <w:rPr>
          <w:rFonts w:ascii="Tahoma" w:hAnsi="Tahoma" w:cs="Tahoma"/>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865BB" w:rsidRPr="00B66656" w:rsidRDefault="00C865BB" w:rsidP="00C865BB">
      <w:pPr>
        <w:jc w:val="center"/>
        <w:rPr>
          <w:rFonts w:ascii="Tahoma" w:hAnsi="Tahoma" w:cs="Tahoma"/>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865BB" w:rsidRPr="00B66656" w:rsidRDefault="00C865BB" w:rsidP="00C865BB">
      <w:pPr>
        <w:jc w:val="center"/>
        <w:rPr>
          <w:rFonts w:ascii="Tahoma" w:hAnsi="Tahoma" w:cs="Tahoma"/>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865BB" w:rsidRPr="00B66656" w:rsidRDefault="00C865BB" w:rsidP="008D680F">
      <w:pPr>
        <w:spacing w:after="0" w:line="240" w:lineRule="auto"/>
        <w:jc w:val="center"/>
        <w:rPr>
          <w:rFonts w:ascii="Tahoma" w:hAnsi="Tahoma" w:cs="Tahoma"/>
          <w:b/>
          <w:sz w:val="36"/>
          <w:szCs w:val="36"/>
        </w:rPr>
      </w:pPr>
      <w:r w:rsidRPr="00B66656">
        <w:rPr>
          <w:rFonts w:ascii="Tahoma" w:hAnsi="Tahoma" w:cs="Tahoma"/>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Janeiro 2016</w:t>
      </w:r>
      <w:r w:rsidRPr="00B66656">
        <w:rPr>
          <w:rFonts w:ascii="Tahoma" w:hAnsi="Tahoma" w:cs="Tahoma"/>
          <w:b/>
          <w:sz w:val="36"/>
          <w:szCs w:val="36"/>
        </w:rPr>
        <w:br w:type="page"/>
      </w:r>
    </w:p>
    <w:p w:rsidR="00C865BB" w:rsidRPr="00B66656" w:rsidRDefault="00C865BB" w:rsidP="00C865BB">
      <w:pPr>
        <w:spacing w:after="0"/>
        <w:ind w:left="111"/>
        <w:rPr>
          <w:rFonts w:ascii="Tahoma" w:eastAsia="Tahoma" w:hAnsi="Tahoma" w:cs="Tahoma"/>
          <w:sz w:val="19"/>
          <w:szCs w:val="19"/>
        </w:rPr>
      </w:pPr>
    </w:p>
    <w:p w:rsidR="00C865BB" w:rsidRDefault="00C865BB" w:rsidP="00C865BB">
      <w:pPr>
        <w:spacing w:after="0" w:line="240" w:lineRule="auto"/>
        <w:rPr>
          <w:rFonts w:ascii="Tahoma" w:eastAsiaTheme="minorEastAsia" w:hAnsi="Tahoma" w:cs="Tahoma"/>
          <w:b/>
          <w:sz w:val="28"/>
          <w:szCs w:val="28"/>
          <w:lang w:eastAsia="ja-JP"/>
        </w:rPr>
      </w:pPr>
    </w:p>
    <w:p w:rsidR="00C865BB" w:rsidRDefault="00C865BB" w:rsidP="00C865BB">
      <w:pPr>
        <w:pStyle w:val="PargrafodaLista"/>
        <w:numPr>
          <w:ilvl w:val="0"/>
          <w:numId w:val="20"/>
        </w:numPr>
        <w:spacing w:after="0" w:line="240" w:lineRule="auto"/>
        <w:rPr>
          <w:rFonts w:ascii="Tahoma" w:eastAsiaTheme="minorEastAsia" w:hAnsi="Tahoma" w:cs="Tahoma"/>
          <w:b/>
          <w:sz w:val="28"/>
          <w:szCs w:val="28"/>
          <w:lang w:eastAsia="ja-JP"/>
        </w:rPr>
      </w:pPr>
      <w:bookmarkStart w:id="0" w:name="_Toc440657373"/>
      <w:r w:rsidRPr="00B247D8">
        <w:rPr>
          <w:rFonts w:ascii="Tahoma" w:eastAsiaTheme="minorEastAsia" w:hAnsi="Tahoma" w:cs="Tahoma"/>
          <w:b/>
          <w:sz w:val="28"/>
          <w:szCs w:val="28"/>
          <w:lang w:eastAsia="ja-JP"/>
        </w:rPr>
        <w:t>Introdução</w:t>
      </w:r>
      <w:bookmarkEnd w:id="0"/>
    </w:p>
    <w:p w:rsidR="00C865BB" w:rsidRPr="00B247D8" w:rsidRDefault="00C865BB" w:rsidP="00C865BB">
      <w:pPr>
        <w:pStyle w:val="PargrafodaLista"/>
        <w:spacing w:after="0" w:line="240" w:lineRule="auto"/>
        <w:ind w:left="1080"/>
        <w:rPr>
          <w:rFonts w:ascii="Tahoma" w:eastAsiaTheme="minorEastAsia" w:hAnsi="Tahoma" w:cs="Tahoma"/>
          <w:b/>
          <w:sz w:val="28"/>
          <w:szCs w:val="28"/>
          <w:lang w:eastAsia="ja-JP"/>
        </w:rPr>
      </w:pPr>
    </w:p>
    <w:p w:rsidR="00C865BB" w:rsidRPr="00C865BB" w:rsidRDefault="00C865BB" w:rsidP="00C865BB">
      <w:pPr>
        <w:pStyle w:val="PargrafodaLista"/>
        <w:numPr>
          <w:ilvl w:val="0"/>
          <w:numId w:val="21"/>
        </w:numPr>
        <w:ind w:left="142" w:hanging="142"/>
        <w:jc w:val="both"/>
        <w:rPr>
          <w:rFonts w:ascii="Tahoma" w:hAnsi="Tahoma" w:cs="Tahoma"/>
          <w:sz w:val="24"/>
          <w:szCs w:val="24"/>
        </w:rPr>
      </w:pPr>
      <w:r w:rsidRPr="00C865BB">
        <w:rPr>
          <w:rFonts w:ascii="Tahoma" w:hAnsi="Tahoma" w:cs="Tahoma"/>
          <w:sz w:val="24"/>
          <w:szCs w:val="24"/>
        </w:rPr>
        <w:t>São amplamente conhecidos os factos que depois do segundo semestre de 2014 afectaram o mercado mundial do petróleo e que culminaram com uma queda brutal do preço médio do Brent. Os efeitos sobre as receitas da economia nacional foram e são significativos e o Orçamento de Estado para 2015, primeira versão, foi elaborado com um elevado grau de incerteza, imediatamente corrigido durante os dois primeiros meses do ano passado, com a consideração de um preço médio do petróleo mais ajustado à conjuntura internacional deste produto de base.</w:t>
      </w:r>
    </w:p>
    <w:p w:rsidR="00C865BB" w:rsidRDefault="00C865BB" w:rsidP="00C865BB">
      <w:pPr>
        <w:pStyle w:val="PargrafodaLista"/>
        <w:ind w:left="142" w:hanging="142"/>
        <w:rPr>
          <w:sz w:val="24"/>
          <w:szCs w:val="24"/>
        </w:rPr>
      </w:pPr>
    </w:p>
    <w:p w:rsidR="00C865BB" w:rsidRDefault="00C865BB" w:rsidP="00C865BB">
      <w:pPr>
        <w:pStyle w:val="PargrafodaLista"/>
        <w:numPr>
          <w:ilvl w:val="0"/>
          <w:numId w:val="21"/>
        </w:numPr>
        <w:ind w:left="142" w:hanging="142"/>
        <w:jc w:val="both"/>
        <w:rPr>
          <w:rFonts w:ascii="Tahoma" w:hAnsi="Tahoma" w:cs="Tahoma"/>
          <w:sz w:val="24"/>
          <w:szCs w:val="24"/>
        </w:rPr>
      </w:pPr>
      <w:r w:rsidRPr="00C865BB">
        <w:rPr>
          <w:rFonts w:ascii="Tahoma" w:hAnsi="Tahoma" w:cs="Tahoma"/>
          <w:sz w:val="24"/>
          <w:szCs w:val="24"/>
        </w:rPr>
        <w:t>O clima de incerteza continua a dominar a economia nacional e as expectativas quanto ao comportamento da economia mundial – e em especial da maior economia emergente do mundo (a China) – têm sido revistas em baixa, pelo menos até 2017. A subida da taxa de juro nos Estados Unidos, a valorização do dólar, a recessão económica no Brasil (2016 continuará a ser de crescimento negativo e inflação alta) e a quebra da dinâmica de crescimento na África subsariana são factos que seguramente afectarão a capacidade de crescimento económico de Angola (menos exportações, menos investimento público e provavelmente menos investimento privado também), importando, portanto, efectuar-se uma avaliação da implementação da estratégia de mitigação dos efeitos da queda do preço do crude aprovada em 2015 de modo a:</w:t>
      </w:r>
    </w:p>
    <w:p w:rsidR="007155D7" w:rsidRPr="007155D7" w:rsidRDefault="007155D7" w:rsidP="007155D7">
      <w:pPr>
        <w:pStyle w:val="PargrafodaLista"/>
        <w:rPr>
          <w:rFonts w:ascii="Tahoma" w:hAnsi="Tahoma" w:cs="Tahoma"/>
          <w:sz w:val="24"/>
          <w:szCs w:val="24"/>
        </w:rPr>
      </w:pPr>
    </w:p>
    <w:p w:rsidR="007155D7" w:rsidRDefault="00C865BB" w:rsidP="007155D7">
      <w:pPr>
        <w:pStyle w:val="PargrafodaLista"/>
        <w:numPr>
          <w:ilvl w:val="0"/>
          <w:numId w:val="22"/>
        </w:numPr>
        <w:jc w:val="both"/>
        <w:rPr>
          <w:rFonts w:ascii="Tahoma" w:hAnsi="Tahoma" w:cs="Tahoma"/>
          <w:sz w:val="24"/>
          <w:szCs w:val="24"/>
        </w:rPr>
      </w:pPr>
      <w:r w:rsidRPr="007155D7">
        <w:rPr>
          <w:rFonts w:ascii="Tahoma" w:hAnsi="Tahoma" w:cs="Tahoma"/>
          <w:sz w:val="24"/>
          <w:szCs w:val="24"/>
        </w:rPr>
        <w:t>Avaliar os resultados e correcção das políticas e medidas aí propostas;</w:t>
      </w:r>
    </w:p>
    <w:p w:rsidR="00C865BB" w:rsidRDefault="00C865BB" w:rsidP="007155D7">
      <w:pPr>
        <w:pStyle w:val="PargrafodaLista"/>
        <w:numPr>
          <w:ilvl w:val="0"/>
          <w:numId w:val="22"/>
        </w:numPr>
        <w:jc w:val="both"/>
        <w:rPr>
          <w:rFonts w:ascii="Tahoma" w:hAnsi="Tahoma" w:cs="Tahoma"/>
          <w:sz w:val="24"/>
          <w:szCs w:val="24"/>
        </w:rPr>
      </w:pPr>
      <w:r w:rsidRPr="007155D7">
        <w:rPr>
          <w:rFonts w:ascii="Tahoma" w:hAnsi="Tahoma" w:cs="Tahoma"/>
          <w:sz w:val="24"/>
          <w:szCs w:val="24"/>
        </w:rPr>
        <w:t>Quantificarem-se os impactos dessas medidas e políticas sobre os agregados macroeconómicos; e,</w:t>
      </w:r>
    </w:p>
    <w:p w:rsidR="00C865BB" w:rsidRPr="007155D7" w:rsidRDefault="00C865BB" w:rsidP="007155D7">
      <w:pPr>
        <w:pStyle w:val="PargrafodaLista"/>
        <w:numPr>
          <w:ilvl w:val="0"/>
          <w:numId w:val="22"/>
        </w:numPr>
        <w:jc w:val="both"/>
        <w:rPr>
          <w:rFonts w:ascii="Tahoma" w:hAnsi="Tahoma" w:cs="Tahoma"/>
          <w:sz w:val="24"/>
          <w:szCs w:val="24"/>
        </w:rPr>
      </w:pPr>
      <w:r w:rsidRPr="007155D7">
        <w:rPr>
          <w:rFonts w:ascii="Tahoma" w:hAnsi="Tahoma" w:cs="Tahoma"/>
          <w:sz w:val="24"/>
          <w:szCs w:val="24"/>
        </w:rPr>
        <w:t>Proceder-se aos acertos credíveis e factíveis para 2016.</w:t>
      </w:r>
    </w:p>
    <w:p w:rsidR="00C865BB" w:rsidRPr="00AD2EB9" w:rsidRDefault="00C865BB" w:rsidP="00C865BB">
      <w:pPr>
        <w:pStyle w:val="PargrafodaLista"/>
        <w:ind w:left="142" w:hanging="142"/>
        <w:jc w:val="both"/>
        <w:rPr>
          <w:rFonts w:ascii="Tahoma" w:hAnsi="Tahoma" w:cs="Tahoma"/>
          <w:sz w:val="24"/>
          <w:szCs w:val="24"/>
        </w:rPr>
      </w:pPr>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eastAsiaTheme="minorEastAsia" w:hAnsi="Tahoma" w:cs="Tahoma"/>
          <w:sz w:val="24"/>
          <w:szCs w:val="24"/>
          <w:lang w:eastAsia="ja-JP"/>
        </w:rPr>
      </w:pPr>
      <w:r w:rsidRPr="00AD2EB9">
        <w:rPr>
          <w:rFonts w:ascii="Tahoma" w:eastAsiaTheme="minorEastAsia" w:hAnsi="Tahoma" w:cs="Tahoma"/>
          <w:sz w:val="24"/>
          <w:szCs w:val="24"/>
          <w:lang w:eastAsia="ja-JP"/>
        </w:rPr>
        <w:t xml:space="preserve">A avaliação permitiu identificar os constrangimentos e concomitantemente sinalizar as medidas, cuja implementação deverá tornar a economia angolana mais integrada, através da densificação da sua malha produtiva intra e inter sectorial, promovendo o </w:t>
      </w:r>
      <w:r w:rsidR="003D0040">
        <w:rPr>
          <w:rFonts w:ascii="Tahoma" w:eastAsiaTheme="minorEastAsia" w:hAnsi="Tahoma" w:cs="Tahoma"/>
          <w:sz w:val="24"/>
          <w:szCs w:val="24"/>
          <w:lang w:eastAsia="ja-JP"/>
        </w:rPr>
        <w:t xml:space="preserve">emprego e o </w:t>
      </w:r>
      <w:r w:rsidRPr="00AD2EB9">
        <w:rPr>
          <w:rFonts w:ascii="Tahoma" w:eastAsiaTheme="minorEastAsia" w:hAnsi="Tahoma" w:cs="Tahoma"/>
          <w:sz w:val="24"/>
          <w:szCs w:val="24"/>
          <w:lang w:eastAsia="ja-JP"/>
        </w:rPr>
        <w:t>aumento e diversificação da produção interna e das exportações.</w:t>
      </w:r>
    </w:p>
    <w:p w:rsidR="00C865BB" w:rsidRDefault="00C865BB" w:rsidP="00C865BB">
      <w:pPr>
        <w:spacing w:after="0" w:line="240" w:lineRule="auto"/>
        <w:ind w:left="142" w:hanging="142"/>
        <w:rPr>
          <w:rFonts w:ascii="Tahoma" w:eastAsiaTheme="minorEastAsia" w:hAnsi="Tahoma" w:cs="Tahoma"/>
          <w:b/>
          <w:sz w:val="28"/>
          <w:szCs w:val="28"/>
          <w:lang w:eastAsia="ja-JP"/>
        </w:rPr>
      </w:pPr>
      <w:bookmarkStart w:id="1" w:name="_Toc440657374"/>
    </w:p>
    <w:p w:rsidR="00C865BB" w:rsidRPr="008D680F" w:rsidRDefault="00C865BB" w:rsidP="008D680F">
      <w:pPr>
        <w:pStyle w:val="PargrafodaLista"/>
        <w:numPr>
          <w:ilvl w:val="0"/>
          <w:numId w:val="3"/>
        </w:numPr>
        <w:spacing w:after="0" w:line="240" w:lineRule="auto"/>
        <w:rPr>
          <w:rFonts w:ascii="Tahoma" w:eastAsiaTheme="minorEastAsia" w:hAnsi="Tahoma" w:cs="Tahoma"/>
          <w:b/>
          <w:sz w:val="28"/>
          <w:szCs w:val="28"/>
          <w:lang w:eastAsia="ja-JP"/>
        </w:rPr>
      </w:pPr>
      <w:r w:rsidRPr="008D680F">
        <w:rPr>
          <w:rFonts w:ascii="Tahoma" w:eastAsiaTheme="minorEastAsia" w:hAnsi="Tahoma" w:cs="Tahoma"/>
          <w:b/>
          <w:sz w:val="28"/>
          <w:szCs w:val="28"/>
          <w:lang w:eastAsia="ja-JP"/>
        </w:rPr>
        <w:t>Situação Actual</w:t>
      </w:r>
      <w:bookmarkEnd w:id="1"/>
    </w:p>
    <w:p w:rsidR="008D680F" w:rsidRPr="00B247D8" w:rsidRDefault="008D680F" w:rsidP="00C865BB">
      <w:pPr>
        <w:spacing w:after="0" w:line="240" w:lineRule="auto"/>
        <w:ind w:left="142" w:hanging="142"/>
        <w:rPr>
          <w:rFonts w:ascii="Tahoma" w:eastAsiaTheme="minorEastAsia" w:hAnsi="Tahoma" w:cs="Tahoma"/>
          <w:b/>
          <w:sz w:val="28"/>
          <w:szCs w:val="28"/>
          <w:lang w:eastAsia="ja-JP"/>
        </w:rPr>
      </w:pPr>
    </w:p>
    <w:p w:rsidR="00C865BB" w:rsidRPr="00AD2EB9" w:rsidRDefault="00C865BB" w:rsidP="00C865BB">
      <w:pPr>
        <w:pStyle w:val="PargrafodaLista"/>
        <w:numPr>
          <w:ilvl w:val="1"/>
          <w:numId w:val="3"/>
        </w:numPr>
        <w:spacing w:after="120" w:line="480" w:lineRule="auto"/>
        <w:ind w:left="142" w:hanging="142"/>
        <w:outlineLvl w:val="1"/>
        <w:rPr>
          <w:rFonts w:ascii="Tahoma" w:eastAsiaTheme="minorEastAsia" w:hAnsi="Tahoma" w:cs="Tahoma"/>
          <w:b/>
          <w:sz w:val="28"/>
          <w:szCs w:val="28"/>
          <w:lang w:eastAsia="ja-JP"/>
        </w:rPr>
      </w:pPr>
      <w:bookmarkStart w:id="2" w:name="_Toc440657375"/>
      <w:r w:rsidRPr="00AD2EB9">
        <w:rPr>
          <w:rFonts w:ascii="Tahoma" w:eastAsia="Trebuchet MS" w:hAnsi="Tahoma" w:cs="Tahoma"/>
          <w:b/>
          <w:sz w:val="28"/>
          <w:szCs w:val="32"/>
          <w:lang w:eastAsia="ja-JP"/>
        </w:rPr>
        <w:t>Balanço Macroeconómico</w:t>
      </w:r>
      <w:bookmarkEnd w:id="2"/>
    </w:p>
    <w:p w:rsidR="00C865BB" w:rsidRPr="00AD2EB9" w:rsidRDefault="00C865BB" w:rsidP="00C865BB">
      <w:pPr>
        <w:pStyle w:val="PargrafodaLista"/>
        <w:numPr>
          <w:ilvl w:val="0"/>
          <w:numId w:val="21"/>
        </w:numPr>
        <w:spacing w:after="24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 xml:space="preserve">Nos últimos dois anos, o desempenho da economia angolana foi condicionado pela queda do preço do petróleo no mercado internacional, tendo provocado uma significativa redução das receitas fiscais do Estado. Por sua vez, a queda das receitas fiscais provocou, em 2015, a contracção da procura agregada da economia e a consequente queda dos níveis de actividade da economia não petrolífera. O crescimento </w:t>
      </w:r>
      <w:r w:rsidRPr="00AD2EB9">
        <w:rPr>
          <w:rFonts w:ascii="Tahoma" w:hAnsi="Tahoma" w:cs="Tahoma"/>
          <w:sz w:val="24"/>
          <w:szCs w:val="24"/>
        </w:rPr>
        <w:lastRenderedPageBreak/>
        <w:t>do sector não petrolífero da economia passou, assim, de 8,2%, em 2014, para 1,3%, em 2015. Os sectores que mais ressentiram, embora com taxas de crescimento positivas, foram os da agricultura, pescas, construção e serviços mercantis, que registaram 0,8%, 5,8%, 3,5% e 2,2%, respectivamente. Por seu lado, o sector da indústria transformadora registou uma variação negativa de 4%.</w:t>
      </w:r>
    </w:p>
    <w:p w:rsidR="00C865BB" w:rsidRPr="00AD2EB9" w:rsidRDefault="00C865BB" w:rsidP="00C865BB">
      <w:pPr>
        <w:pStyle w:val="PargrafodaLista"/>
        <w:numPr>
          <w:ilvl w:val="2"/>
          <w:numId w:val="3"/>
        </w:numPr>
        <w:spacing w:after="120" w:line="480" w:lineRule="auto"/>
        <w:ind w:left="142" w:hanging="142"/>
        <w:outlineLvl w:val="1"/>
        <w:rPr>
          <w:rFonts w:ascii="Tahoma" w:eastAsia="Trebuchet MS" w:hAnsi="Tahoma" w:cs="Tahoma"/>
          <w:b/>
          <w:sz w:val="28"/>
          <w:szCs w:val="32"/>
          <w:lang w:eastAsia="ja-JP"/>
        </w:rPr>
      </w:pPr>
      <w:bookmarkStart w:id="3" w:name="_Toc440657376"/>
      <w:r w:rsidRPr="00AD2EB9">
        <w:rPr>
          <w:rFonts w:ascii="Tahoma" w:eastAsia="Trebuchet MS" w:hAnsi="Tahoma" w:cs="Tahoma"/>
          <w:b/>
          <w:sz w:val="28"/>
          <w:szCs w:val="32"/>
          <w:lang w:eastAsia="ja-JP"/>
        </w:rPr>
        <w:t>Sector Fiscal</w:t>
      </w:r>
      <w:bookmarkEnd w:id="3"/>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As contas fiscais de 2015 foram amplamente influenciadas pela queda do preço do petróleo. As estimativas mais recentes apontam para uma Receita Total no valor de KZ 3.242,3 mil milhões, 26,35% abaixo do registado em 2014. As receitas petrolíferas atingiram um total de KZ 1.616,3 mil milhões, igualmente abaixo do registado no ano anterior. As receitas não petrolíferas, por seu lado, aumentaram para KZ 1.205,1 mil milhões, entretanto 16,13 % abaixo do previsto.</w:t>
      </w:r>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Por outro lado, estima-se uma redução da despesa fiscal, em 2015, em comparação com o ano de 2014, na ordem dos 26,94%, cifrando-se em KZ 3.814,8 mil milhões. Para a redução da despesa fiscal, as despesas correntes contribuíram com uma redução de 69,75% e as de capital de 30,25%. Estima-se um défice fiscal de KZ 572,5 mil milhões, na óptica de compromisso, representando 4,5% do PIB, havendo no entanto a registar mais KZ 180,8 mil milhões em Restos a Pagar.</w:t>
      </w:r>
    </w:p>
    <w:p w:rsidR="00C865BB" w:rsidRPr="00AD2EB9" w:rsidRDefault="00C865BB" w:rsidP="00C865BB">
      <w:pPr>
        <w:pStyle w:val="PargrafodaLista"/>
        <w:numPr>
          <w:ilvl w:val="0"/>
          <w:numId w:val="21"/>
        </w:numPr>
        <w:spacing w:after="24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O rácio Stock da Dívida Governamental sobre o PIB situou-se em, 2015, em torno de 47,0%.</w:t>
      </w:r>
    </w:p>
    <w:p w:rsidR="00C865BB" w:rsidRPr="00AD2EB9" w:rsidRDefault="00C865BB" w:rsidP="00C865BB">
      <w:pPr>
        <w:pStyle w:val="PargrafodaLista"/>
        <w:numPr>
          <w:ilvl w:val="2"/>
          <w:numId w:val="3"/>
        </w:numPr>
        <w:spacing w:after="120" w:line="480" w:lineRule="auto"/>
        <w:ind w:left="142" w:hanging="142"/>
        <w:outlineLvl w:val="1"/>
        <w:rPr>
          <w:rFonts w:ascii="Tahoma" w:eastAsia="Trebuchet MS" w:hAnsi="Tahoma" w:cs="Tahoma"/>
          <w:b/>
          <w:sz w:val="28"/>
          <w:szCs w:val="32"/>
          <w:lang w:eastAsia="ja-JP"/>
        </w:rPr>
      </w:pPr>
      <w:bookmarkStart w:id="4" w:name="_Toc440657377"/>
      <w:r w:rsidRPr="00AD2EB9">
        <w:rPr>
          <w:rFonts w:ascii="Tahoma" w:eastAsia="Trebuchet MS" w:hAnsi="Tahoma" w:cs="Tahoma"/>
          <w:b/>
          <w:sz w:val="28"/>
          <w:szCs w:val="32"/>
          <w:lang w:eastAsia="ja-JP"/>
        </w:rPr>
        <w:t>Sector Monetário</w:t>
      </w:r>
      <w:bookmarkEnd w:id="4"/>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A política monetária foi um instrumento usado com o objectivo de controlar o nível geral de preços e assegurar a estabilidade do sistema financeiro nacional.</w:t>
      </w:r>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Até Novembro de 2015, o crédito à economia, que constitui um dos factores essenciais para o crescimento sustentado do país rumo a diversificação, havia atingido KZ 3.331 mil milhões ao registar uma expansão de cerca de 13,0%, em comparação a igual período de 2014. Os sectores com maior peso no total do Crédito concedido foram Particulares (19,67%), Comércio a Grosso e a Retalho (18,52%) e Actividades Imobiliárias (14,91%).</w:t>
      </w:r>
    </w:p>
    <w:p w:rsidR="00C865BB" w:rsidRPr="00AD2EB9" w:rsidRDefault="00C865BB" w:rsidP="00C865BB">
      <w:pPr>
        <w:pStyle w:val="PargrafodaLista"/>
        <w:numPr>
          <w:ilvl w:val="0"/>
          <w:numId w:val="21"/>
        </w:numPr>
        <w:spacing w:after="24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A inflação em 2014 fixou-se em 7,48%. Em Novembro de 2015 a taxa acumulada era de 12,47% enquanto a homóloga era de 13,29%, registando uma tendência ascendente. O comportamento da inflação em 2015 resultou da combinação de quatro factores essenciais: (i) pressão para a desvalorização da moeda nacional; (ii) ajustamento do preço dos combustíveis; e, (iii) o aumento dos preços dos bens importados.</w:t>
      </w:r>
    </w:p>
    <w:p w:rsidR="00C865BB" w:rsidRPr="00AD2EB9" w:rsidRDefault="00C865BB" w:rsidP="00C865BB">
      <w:pPr>
        <w:pStyle w:val="PargrafodaLista"/>
        <w:numPr>
          <w:ilvl w:val="2"/>
          <w:numId w:val="3"/>
        </w:numPr>
        <w:spacing w:after="120" w:line="240" w:lineRule="auto"/>
        <w:ind w:left="142" w:right="-488" w:hanging="142"/>
        <w:contextualSpacing w:val="0"/>
        <w:jc w:val="both"/>
        <w:rPr>
          <w:rFonts w:ascii="Tahoma" w:hAnsi="Tahoma" w:cs="Tahoma"/>
          <w:b/>
          <w:sz w:val="24"/>
          <w:szCs w:val="24"/>
        </w:rPr>
      </w:pPr>
      <w:r w:rsidRPr="00AD2EB9">
        <w:rPr>
          <w:rFonts w:ascii="Tahoma" w:eastAsia="Trebuchet MS" w:hAnsi="Tahoma" w:cs="Tahoma"/>
          <w:b/>
          <w:sz w:val="28"/>
          <w:szCs w:val="32"/>
          <w:lang w:eastAsia="ja-JP"/>
        </w:rPr>
        <w:t>Sector Externo</w:t>
      </w:r>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Em 2015, fruto da queda do preço do barril de petróleo e do valor das exportações petrolíferas, estima-se a continuidade do défice da Conta Corrente, fixando-se, em torno de US$ -5.913,72 milhões e da Conta de Capital e Financeira em US$ 2.769,38 milhões, resultando um défice da Balança Global em torno de US$ 3.144,34 milhões.</w:t>
      </w:r>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lastRenderedPageBreak/>
        <w:t xml:space="preserve">No mercado cambial, o Kwanza registou uma depreciação de 32%, ao passar de KZ/US$ 102,9, em 2014, para KZ/US$ 135,31, em 2015. No entanto, a taxa de câmbio real do KZ/US$ ao depreciar a um nível superior à taxa de inflação, pode ser um indicador facilitador ao processo de substituição de importações. </w:t>
      </w:r>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O BNA vendeu US$ 18.728,4 milhões no mercado cambial primário, em 2014, e em 2015, 16.351,3 milhões de dólares, o que perfaz uma média mensal em torno de US$ 1.486,5 milhões.</w:t>
      </w:r>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De notar, entretanto, que adicionalmente em 2014, os bancos comerciais adquiriam às empresas petrolíferas um montante estimado em US$ 15.288 milhões, o que de facto significa que o mercado cambial nesse mesmo ano movimentou 48% mais de divisas, num total de US$ 31.639,3 milhões, contra US$16.351,3 milhões registados em 2015.</w:t>
      </w:r>
    </w:p>
    <w:p w:rsidR="00C865BB" w:rsidRPr="00AD2EB9" w:rsidRDefault="00C865BB" w:rsidP="00C865BB">
      <w:pPr>
        <w:pStyle w:val="PargrafodaLista"/>
        <w:numPr>
          <w:ilvl w:val="0"/>
          <w:numId w:val="21"/>
        </w:numPr>
        <w:spacing w:after="24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As RIL registaram uma contracção ao passar de US$ 27.276,14 milhões em 2014, para US$ 24.570,33 milhões em Novembro de 2015 resultante essencialmente da redução das receitas petrolíferas. As estimativas para 2015, indicam que esse indicador poderá atingir até ao final do ano cerca de US$ 24.130,91 milhões.</w:t>
      </w:r>
    </w:p>
    <w:p w:rsidR="00C865BB" w:rsidRPr="00AD2EB9" w:rsidRDefault="00C865BB" w:rsidP="00C865BB">
      <w:pPr>
        <w:pStyle w:val="PargrafodaLista"/>
        <w:numPr>
          <w:ilvl w:val="2"/>
          <w:numId w:val="3"/>
        </w:numPr>
        <w:spacing w:after="120" w:line="480" w:lineRule="auto"/>
        <w:ind w:left="142" w:hanging="142"/>
        <w:outlineLvl w:val="1"/>
        <w:rPr>
          <w:rFonts w:ascii="Tahoma" w:eastAsia="Trebuchet MS" w:hAnsi="Tahoma" w:cs="Tahoma"/>
          <w:b/>
          <w:sz w:val="28"/>
          <w:szCs w:val="32"/>
          <w:lang w:eastAsia="ja-JP"/>
        </w:rPr>
      </w:pPr>
      <w:bookmarkStart w:id="5" w:name="_Toc440657378"/>
      <w:r w:rsidRPr="00AD2EB9">
        <w:rPr>
          <w:rFonts w:ascii="Tahoma" w:eastAsia="Trebuchet MS" w:hAnsi="Tahoma" w:cs="Tahoma"/>
          <w:b/>
          <w:sz w:val="28"/>
          <w:szCs w:val="32"/>
          <w:lang w:eastAsia="ja-JP"/>
        </w:rPr>
        <w:t>Sector Real</w:t>
      </w:r>
      <w:bookmarkEnd w:id="5"/>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Dados disponíveis apontam para uma taxa de crescimento do PIB real na ordem de 2,8% em 2015, representando 6 pontos percentuais abaixo do plasmado no PND 2013-2017, com o sector petrolífero a registar um crescimento de 6,3% e o sector não petrolífero a crescer 1,3%. Importa destacar que o sector petrolífero de acordo com o OGE revisto 2015 previa crescer 9,8%, enquanto o não petrolífero 5,3%. O PIB nominal estimado é de KZ 12.475,6 mil milhões em 2015, dos quais Kz 3.097,6 mil milhões correspondem ao sector petrolífero.</w:t>
      </w:r>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Para o sector petrolífero, as previsões do Ministério dos Petróleos para 2015 apontavam, inicialmente, uma produção de 1.835 mil barris/dia. Porém, as previsões de Abril, fruto do desempenho verificado durante o I Trimestre, foram ajustadas para 1.802 mil barris/dia, registando-se, finalmente, a produção diária de mil 1.776,7 barris.</w:t>
      </w:r>
    </w:p>
    <w:p w:rsidR="00C865BB" w:rsidRDefault="00C865BB" w:rsidP="00C865BB">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Para o sector não petrolífero as estimativas mostram que o crescimento será suportado pelos sectores da energia (2,5%), construção (3,5%), sector público administrativo (1,1%), diamantes e serviços mercantis ambas a crescerem a uma taxa de 2,2% e agricultura (0,3%). A indústria transformadora registou uma variação negativa de 4,0%.</w:t>
      </w:r>
    </w:p>
    <w:p w:rsidR="00C865BB" w:rsidRDefault="00C865BB" w:rsidP="00C865BB">
      <w:pPr>
        <w:spacing w:after="120" w:line="240" w:lineRule="auto"/>
        <w:ind w:left="142" w:right="-488" w:hanging="142"/>
        <w:jc w:val="both"/>
        <w:rPr>
          <w:rFonts w:ascii="Tahoma" w:hAnsi="Tahoma" w:cs="Tahoma"/>
          <w:sz w:val="24"/>
          <w:szCs w:val="24"/>
        </w:rPr>
      </w:pPr>
    </w:p>
    <w:p w:rsidR="00C865BB" w:rsidRDefault="00C865BB" w:rsidP="00C865BB">
      <w:pPr>
        <w:spacing w:after="120" w:line="240" w:lineRule="auto"/>
        <w:ind w:left="142" w:right="-488" w:hanging="142"/>
        <w:jc w:val="both"/>
        <w:rPr>
          <w:rFonts w:ascii="Tahoma" w:hAnsi="Tahoma" w:cs="Tahoma"/>
          <w:sz w:val="24"/>
          <w:szCs w:val="24"/>
        </w:rPr>
      </w:pPr>
    </w:p>
    <w:p w:rsidR="007155D7" w:rsidRDefault="007155D7" w:rsidP="00C865BB">
      <w:pPr>
        <w:spacing w:after="120" w:line="240" w:lineRule="auto"/>
        <w:ind w:left="142" w:right="-488" w:hanging="142"/>
        <w:jc w:val="both"/>
        <w:rPr>
          <w:rFonts w:ascii="Tahoma" w:hAnsi="Tahoma" w:cs="Tahoma"/>
          <w:sz w:val="24"/>
          <w:szCs w:val="24"/>
        </w:rPr>
      </w:pPr>
    </w:p>
    <w:p w:rsidR="007155D7" w:rsidRDefault="007155D7" w:rsidP="00C865BB">
      <w:pPr>
        <w:spacing w:after="120" w:line="240" w:lineRule="auto"/>
        <w:ind w:left="142" w:right="-488" w:hanging="142"/>
        <w:jc w:val="both"/>
        <w:rPr>
          <w:rFonts w:ascii="Tahoma" w:hAnsi="Tahoma" w:cs="Tahoma"/>
          <w:sz w:val="24"/>
          <w:szCs w:val="24"/>
        </w:rPr>
      </w:pPr>
    </w:p>
    <w:p w:rsidR="007155D7" w:rsidRDefault="007155D7" w:rsidP="00C865BB">
      <w:pPr>
        <w:spacing w:after="120" w:line="240" w:lineRule="auto"/>
        <w:ind w:left="142" w:right="-488" w:hanging="142"/>
        <w:jc w:val="both"/>
        <w:rPr>
          <w:rFonts w:ascii="Tahoma" w:hAnsi="Tahoma" w:cs="Tahoma"/>
          <w:sz w:val="24"/>
          <w:szCs w:val="24"/>
        </w:rPr>
      </w:pPr>
    </w:p>
    <w:p w:rsidR="007155D7" w:rsidRDefault="007155D7" w:rsidP="00C865BB">
      <w:pPr>
        <w:spacing w:after="120" w:line="240" w:lineRule="auto"/>
        <w:ind w:left="142" w:right="-488" w:hanging="142"/>
        <w:jc w:val="both"/>
        <w:rPr>
          <w:rFonts w:ascii="Tahoma" w:hAnsi="Tahoma" w:cs="Tahoma"/>
          <w:sz w:val="24"/>
          <w:szCs w:val="24"/>
        </w:rPr>
      </w:pPr>
    </w:p>
    <w:p w:rsidR="007155D7" w:rsidRPr="00B247D8" w:rsidRDefault="007155D7" w:rsidP="00C865BB">
      <w:pPr>
        <w:spacing w:after="120" w:line="240" w:lineRule="auto"/>
        <w:ind w:left="142" w:right="-488" w:hanging="142"/>
        <w:jc w:val="both"/>
        <w:rPr>
          <w:rFonts w:ascii="Tahoma" w:hAnsi="Tahoma" w:cs="Tahoma"/>
          <w:sz w:val="24"/>
          <w:szCs w:val="24"/>
        </w:rPr>
      </w:pPr>
    </w:p>
    <w:p w:rsidR="00C865BB" w:rsidRPr="00AD2EB9" w:rsidRDefault="00C865BB" w:rsidP="00C865BB">
      <w:pPr>
        <w:pStyle w:val="PargrafodaLista"/>
        <w:numPr>
          <w:ilvl w:val="0"/>
          <w:numId w:val="4"/>
        </w:numPr>
        <w:spacing w:after="120" w:line="240" w:lineRule="auto"/>
        <w:ind w:left="142" w:hanging="142"/>
        <w:outlineLvl w:val="1"/>
        <w:rPr>
          <w:rFonts w:ascii="Tahoma" w:eastAsiaTheme="minorEastAsia" w:hAnsi="Tahoma" w:cs="Tahoma"/>
          <w:b/>
          <w:sz w:val="28"/>
          <w:szCs w:val="28"/>
          <w:lang w:eastAsia="ja-JP"/>
        </w:rPr>
      </w:pPr>
      <w:bookmarkStart w:id="6" w:name="_Toc440657379"/>
      <w:r w:rsidRPr="00AD2EB9">
        <w:rPr>
          <w:rFonts w:ascii="Tahoma" w:eastAsiaTheme="minorEastAsia" w:hAnsi="Tahoma" w:cs="Tahoma"/>
          <w:b/>
          <w:sz w:val="28"/>
          <w:szCs w:val="28"/>
          <w:lang w:eastAsia="ja-JP"/>
        </w:rPr>
        <w:lastRenderedPageBreak/>
        <w:t>Substituição do Petróleo como Fonte Principal de Receita</w:t>
      </w:r>
      <w:bookmarkEnd w:id="6"/>
    </w:p>
    <w:p w:rsidR="00C865BB" w:rsidRPr="00AD2EB9" w:rsidRDefault="00C865BB" w:rsidP="00C865BB">
      <w:pPr>
        <w:pStyle w:val="PargrafodaLista"/>
        <w:spacing w:after="120" w:line="240" w:lineRule="auto"/>
        <w:ind w:left="142" w:right="-488" w:hanging="142"/>
        <w:contextualSpacing w:val="0"/>
        <w:jc w:val="both"/>
        <w:rPr>
          <w:rFonts w:ascii="Tahoma" w:hAnsi="Tahoma" w:cs="Tahoma"/>
          <w:sz w:val="24"/>
          <w:szCs w:val="24"/>
          <w:lang w:eastAsia="ja-JP"/>
        </w:rPr>
      </w:pPr>
    </w:p>
    <w:p w:rsidR="00C865BB" w:rsidRPr="00AD2EB9" w:rsidRDefault="00C865BB" w:rsidP="00C865BB">
      <w:pPr>
        <w:pStyle w:val="PargrafodaLista"/>
        <w:numPr>
          <w:ilvl w:val="1"/>
          <w:numId w:val="4"/>
        </w:numPr>
        <w:spacing w:after="120" w:line="240" w:lineRule="auto"/>
        <w:ind w:left="142" w:hanging="142"/>
        <w:outlineLvl w:val="1"/>
        <w:rPr>
          <w:rFonts w:ascii="Tahoma" w:eastAsia="Trebuchet MS" w:hAnsi="Tahoma" w:cs="Tahoma"/>
          <w:b/>
          <w:sz w:val="28"/>
          <w:szCs w:val="32"/>
          <w:lang w:eastAsia="ja-JP"/>
        </w:rPr>
      </w:pPr>
      <w:bookmarkStart w:id="7" w:name="_Toc439081253"/>
      <w:bookmarkStart w:id="8" w:name="_Toc439259759"/>
      <w:bookmarkStart w:id="9" w:name="_Toc439259797"/>
      <w:bookmarkStart w:id="10" w:name="_Toc439854550"/>
      <w:bookmarkStart w:id="11" w:name="_Toc439854637"/>
      <w:bookmarkStart w:id="12" w:name="_Toc439854778"/>
      <w:bookmarkStart w:id="13" w:name="_Toc439854875"/>
      <w:bookmarkStart w:id="14" w:name="_Toc439855023"/>
      <w:bookmarkStart w:id="15" w:name="_Toc439942102"/>
      <w:bookmarkStart w:id="16" w:name="_Toc440657380"/>
      <w:bookmarkEnd w:id="7"/>
      <w:bookmarkEnd w:id="8"/>
      <w:bookmarkEnd w:id="9"/>
      <w:bookmarkEnd w:id="10"/>
      <w:bookmarkEnd w:id="11"/>
      <w:bookmarkEnd w:id="12"/>
      <w:bookmarkEnd w:id="13"/>
      <w:bookmarkEnd w:id="14"/>
      <w:bookmarkEnd w:id="15"/>
      <w:r w:rsidRPr="00AD2EB9">
        <w:rPr>
          <w:rFonts w:ascii="Tahoma" w:eastAsia="Trebuchet MS" w:hAnsi="Tahoma" w:cs="Tahoma"/>
          <w:b/>
          <w:sz w:val="28"/>
          <w:szCs w:val="32"/>
          <w:lang w:eastAsia="ja-JP"/>
        </w:rPr>
        <w:t>Expansão Controlada do Défice e do Endividamento para o Relançamento da Economia</w:t>
      </w:r>
      <w:bookmarkEnd w:id="16"/>
    </w:p>
    <w:p w:rsidR="00C865BB" w:rsidRPr="00AD2EB9" w:rsidRDefault="00C865BB" w:rsidP="00C865BB">
      <w:pPr>
        <w:pStyle w:val="PargrafodaLista"/>
        <w:spacing w:after="120" w:line="240" w:lineRule="auto"/>
        <w:ind w:left="142" w:hanging="142"/>
        <w:rPr>
          <w:rFonts w:ascii="Tahoma" w:eastAsia="Trebuchet MS" w:hAnsi="Tahoma" w:cs="Tahoma"/>
          <w:b/>
          <w:sz w:val="28"/>
          <w:szCs w:val="32"/>
          <w:lang w:eastAsia="ja-JP"/>
        </w:rPr>
      </w:pPr>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eastAsia="Trebuchet MS" w:hAnsi="Tahoma" w:cs="Tahoma"/>
          <w:sz w:val="24"/>
          <w:szCs w:val="24"/>
          <w:lang w:eastAsia="ja-JP"/>
        </w:rPr>
      </w:pPr>
      <w:r w:rsidRPr="00AD2EB9">
        <w:rPr>
          <w:rFonts w:ascii="Tahoma" w:eastAsia="Trebuchet MS" w:hAnsi="Tahoma" w:cs="Tahoma"/>
          <w:sz w:val="24"/>
          <w:szCs w:val="24"/>
          <w:lang w:eastAsia="ja-JP"/>
        </w:rPr>
        <w:t xml:space="preserve">Estudos sobre a evolução futura do preço do petróleo no mercado internacional indiciam que o preço desta matéria prima </w:t>
      </w:r>
      <w:r>
        <w:rPr>
          <w:rFonts w:ascii="Tahoma" w:eastAsia="Trebuchet MS" w:hAnsi="Tahoma" w:cs="Tahoma"/>
          <w:sz w:val="24"/>
          <w:szCs w:val="24"/>
          <w:lang w:eastAsia="ja-JP"/>
        </w:rPr>
        <w:t xml:space="preserve">poderá manter-se </w:t>
      </w:r>
      <w:r w:rsidRPr="00AD2EB9">
        <w:rPr>
          <w:rFonts w:ascii="Tahoma" w:eastAsia="Trebuchet MS" w:hAnsi="Tahoma" w:cs="Tahoma"/>
          <w:sz w:val="24"/>
          <w:szCs w:val="24"/>
          <w:lang w:eastAsia="ja-JP"/>
        </w:rPr>
        <w:t xml:space="preserve"> em baixa por um período considerável.</w:t>
      </w:r>
    </w:p>
    <w:p w:rsidR="00C865BB" w:rsidRPr="00AD2EB9" w:rsidRDefault="00C865BB" w:rsidP="00C865BB">
      <w:pPr>
        <w:pStyle w:val="PargrafodaLista"/>
        <w:numPr>
          <w:ilvl w:val="0"/>
          <w:numId w:val="21"/>
        </w:numPr>
        <w:spacing w:after="120" w:line="240" w:lineRule="auto"/>
        <w:ind w:left="142" w:right="-488" w:hanging="142"/>
        <w:contextualSpacing w:val="0"/>
        <w:jc w:val="both"/>
        <w:rPr>
          <w:rFonts w:ascii="Tahoma" w:eastAsia="Trebuchet MS" w:hAnsi="Tahoma" w:cs="Tahoma"/>
          <w:sz w:val="24"/>
          <w:szCs w:val="24"/>
          <w:lang w:eastAsia="ja-JP"/>
        </w:rPr>
      </w:pPr>
      <w:r>
        <w:rPr>
          <w:rFonts w:ascii="Tahoma" w:eastAsia="Trebuchet MS" w:hAnsi="Tahoma" w:cs="Tahoma"/>
          <w:sz w:val="24"/>
          <w:szCs w:val="24"/>
          <w:lang w:eastAsia="ja-JP"/>
        </w:rPr>
        <w:t>Por esta razão, t</w:t>
      </w:r>
      <w:r w:rsidRPr="00AD2EB9">
        <w:rPr>
          <w:rFonts w:ascii="Tahoma" w:eastAsia="Trebuchet MS" w:hAnsi="Tahoma" w:cs="Tahoma"/>
          <w:sz w:val="24"/>
          <w:szCs w:val="24"/>
          <w:lang w:eastAsia="ja-JP"/>
        </w:rPr>
        <w:t xml:space="preserve">oda a estratégia para fazer face à presente crise deverá ter como pressuposto a substituição do petróleo como principal fonte de receita de Angola. </w:t>
      </w:r>
      <w:r>
        <w:rPr>
          <w:rFonts w:ascii="Tahoma" w:eastAsia="Trebuchet MS" w:hAnsi="Tahoma" w:cs="Tahoma"/>
          <w:sz w:val="24"/>
          <w:szCs w:val="24"/>
          <w:lang w:eastAsia="ja-JP"/>
        </w:rPr>
        <w:t>Assim</w:t>
      </w:r>
      <w:r w:rsidR="003D0040">
        <w:rPr>
          <w:rFonts w:ascii="Tahoma" w:eastAsia="Trebuchet MS" w:hAnsi="Tahoma" w:cs="Tahoma"/>
          <w:sz w:val="24"/>
          <w:szCs w:val="24"/>
          <w:lang w:eastAsia="ja-JP"/>
        </w:rPr>
        <w:t xml:space="preserve">, </w:t>
      </w:r>
      <w:r>
        <w:rPr>
          <w:rFonts w:ascii="Tahoma" w:eastAsia="Trebuchet MS" w:hAnsi="Tahoma" w:cs="Tahoma"/>
          <w:sz w:val="24"/>
          <w:szCs w:val="24"/>
          <w:lang w:eastAsia="ja-JP"/>
        </w:rPr>
        <w:t xml:space="preserve"> </w:t>
      </w:r>
      <w:r w:rsidRPr="00AD2EB9">
        <w:rPr>
          <w:rFonts w:ascii="Tahoma" w:eastAsia="Trebuchet MS" w:hAnsi="Tahoma" w:cs="Tahoma"/>
          <w:sz w:val="24"/>
          <w:szCs w:val="24"/>
          <w:lang w:eastAsia="ja-JP"/>
        </w:rPr>
        <w:t xml:space="preserve"> há que desenvolver estrategicamente as seguintes acções:</w:t>
      </w:r>
    </w:p>
    <w:p w:rsidR="00C865BB" w:rsidRDefault="00C865BB" w:rsidP="003D0040">
      <w:pPr>
        <w:pStyle w:val="PargrafodaLista"/>
        <w:numPr>
          <w:ilvl w:val="0"/>
          <w:numId w:val="9"/>
        </w:numPr>
        <w:spacing w:after="120" w:line="240" w:lineRule="auto"/>
        <w:jc w:val="both"/>
        <w:rPr>
          <w:rFonts w:ascii="Tahoma" w:eastAsia="Trebuchet MS" w:hAnsi="Tahoma" w:cs="Tahoma"/>
          <w:sz w:val="24"/>
          <w:szCs w:val="24"/>
          <w:lang w:eastAsia="ja-JP"/>
        </w:rPr>
      </w:pPr>
      <w:r w:rsidRPr="00AD2EB9">
        <w:rPr>
          <w:rFonts w:ascii="Tahoma" w:eastAsia="Trebuchet MS" w:hAnsi="Tahoma" w:cs="Tahoma"/>
          <w:sz w:val="24"/>
          <w:szCs w:val="24"/>
          <w:lang w:eastAsia="ja-JP"/>
        </w:rPr>
        <w:t xml:space="preserve">Aumentar </w:t>
      </w:r>
      <w:r>
        <w:rPr>
          <w:rFonts w:ascii="Tahoma" w:eastAsia="Trebuchet MS" w:hAnsi="Tahoma" w:cs="Tahoma"/>
          <w:sz w:val="24"/>
          <w:szCs w:val="24"/>
          <w:lang w:eastAsia="ja-JP"/>
        </w:rPr>
        <w:t xml:space="preserve"> </w:t>
      </w:r>
      <w:r w:rsidR="008D680F">
        <w:rPr>
          <w:rFonts w:ascii="Tahoma" w:eastAsia="Trebuchet MS" w:hAnsi="Tahoma" w:cs="Tahoma"/>
          <w:sz w:val="24"/>
          <w:szCs w:val="24"/>
          <w:lang w:eastAsia="ja-JP"/>
        </w:rPr>
        <w:t xml:space="preserve">a curto prazo a produção e o controlo </w:t>
      </w:r>
      <w:r w:rsidR="003D0040">
        <w:rPr>
          <w:rFonts w:ascii="Tahoma" w:eastAsia="Trebuchet MS" w:hAnsi="Tahoma" w:cs="Tahoma"/>
          <w:sz w:val="24"/>
          <w:szCs w:val="24"/>
          <w:lang w:eastAsia="ja-JP"/>
        </w:rPr>
        <w:t>dos produtos exportáveis de modo a gerar divisas para o país;</w:t>
      </w:r>
    </w:p>
    <w:p w:rsidR="003D0040" w:rsidRDefault="003D0040" w:rsidP="003D0040">
      <w:pPr>
        <w:pStyle w:val="PargrafodaLista"/>
        <w:spacing w:after="120" w:line="240" w:lineRule="auto"/>
        <w:ind w:left="1080"/>
        <w:jc w:val="both"/>
        <w:rPr>
          <w:rFonts w:ascii="Tahoma" w:eastAsia="Trebuchet MS" w:hAnsi="Tahoma" w:cs="Tahoma"/>
          <w:sz w:val="24"/>
          <w:szCs w:val="24"/>
          <w:lang w:eastAsia="ja-JP"/>
        </w:rPr>
      </w:pPr>
    </w:p>
    <w:p w:rsidR="00C865BB" w:rsidRPr="003D0040" w:rsidRDefault="00C865BB" w:rsidP="003D0040">
      <w:pPr>
        <w:pStyle w:val="PargrafodaLista"/>
        <w:numPr>
          <w:ilvl w:val="0"/>
          <w:numId w:val="9"/>
        </w:numPr>
        <w:spacing w:after="120" w:line="240" w:lineRule="auto"/>
        <w:jc w:val="both"/>
        <w:rPr>
          <w:rFonts w:ascii="Tahoma" w:eastAsia="Trebuchet MS" w:hAnsi="Tahoma" w:cs="Tahoma"/>
          <w:sz w:val="24"/>
          <w:szCs w:val="24"/>
          <w:lang w:eastAsia="ja-JP"/>
        </w:rPr>
      </w:pPr>
      <w:r w:rsidRPr="003D0040">
        <w:rPr>
          <w:rFonts w:ascii="Tahoma" w:eastAsia="Trebuchet MS" w:hAnsi="Tahoma" w:cs="Tahoma"/>
          <w:sz w:val="24"/>
          <w:szCs w:val="24"/>
          <w:lang w:eastAsia="ja-JP"/>
        </w:rPr>
        <w:t xml:space="preserve">Aumentar a produção interna, sobretudo dos produtos da cesta básica e de outros produtos essenciais para o consumo interno e para a exportação. </w:t>
      </w:r>
    </w:p>
    <w:p w:rsidR="00C865BB" w:rsidRPr="00AD2EB9" w:rsidRDefault="00C865BB" w:rsidP="00C865BB">
      <w:pPr>
        <w:pStyle w:val="PargrafodaLista"/>
        <w:ind w:left="142" w:hanging="142"/>
        <w:rPr>
          <w:rFonts w:ascii="Tahoma" w:eastAsia="Trebuchet MS" w:hAnsi="Tahoma" w:cs="Tahoma"/>
          <w:sz w:val="24"/>
          <w:szCs w:val="24"/>
          <w:lang w:eastAsia="ja-JP"/>
        </w:rPr>
      </w:pPr>
    </w:p>
    <w:p w:rsidR="00C865BB" w:rsidRPr="00895D90" w:rsidRDefault="00C865BB" w:rsidP="00C865BB">
      <w:pPr>
        <w:pStyle w:val="PargrafodaLista"/>
        <w:numPr>
          <w:ilvl w:val="0"/>
          <w:numId w:val="21"/>
        </w:numPr>
        <w:spacing w:after="240" w:line="240" w:lineRule="auto"/>
        <w:ind w:left="142" w:right="-488" w:hanging="142"/>
        <w:contextualSpacing w:val="0"/>
        <w:jc w:val="both"/>
        <w:rPr>
          <w:rFonts w:ascii="Tahoma" w:hAnsi="Tahoma" w:cs="Tahoma"/>
          <w:sz w:val="24"/>
          <w:szCs w:val="24"/>
        </w:rPr>
      </w:pPr>
      <w:r w:rsidRPr="00AD2EB9">
        <w:rPr>
          <w:rFonts w:ascii="Tahoma" w:eastAsia="Trebuchet MS" w:hAnsi="Tahoma" w:cs="Tahoma"/>
          <w:sz w:val="24"/>
          <w:szCs w:val="24"/>
          <w:lang w:eastAsia="ja-JP"/>
        </w:rPr>
        <w:t xml:space="preserve">O </w:t>
      </w:r>
      <w:r w:rsidRPr="00D43B91">
        <w:rPr>
          <w:rFonts w:ascii="Tahoma" w:eastAsia="Trebuchet MS" w:hAnsi="Tahoma" w:cs="Tahoma"/>
          <w:sz w:val="24"/>
          <w:szCs w:val="24"/>
          <w:lang w:eastAsia="ja-JP"/>
        </w:rPr>
        <w:t>défice</w:t>
      </w:r>
      <w:r w:rsidRPr="00AD2EB9">
        <w:rPr>
          <w:rFonts w:ascii="Tahoma" w:eastAsia="Trebuchet MS" w:hAnsi="Tahoma" w:cs="Tahoma"/>
          <w:sz w:val="24"/>
          <w:szCs w:val="24"/>
          <w:lang w:eastAsia="ja-JP"/>
        </w:rPr>
        <w:t xml:space="preserve"> e o endividamento do país deverão ser geridos de modo a constituírem fontes de financiamento das acções referidas no ponto</w:t>
      </w:r>
      <w:r w:rsidRPr="00895D90">
        <w:rPr>
          <w:rFonts w:ascii="Tahoma" w:eastAsia="Trebuchet MS" w:hAnsi="Tahoma" w:cs="Tahoma"/>
          <w:sz w:val="24"/>
          <w:szCs w:val="24"/>
          <w:lang w:eastAsia="ja-JP"/>
        </w:rPr>
        <w:t xml:space="preserve"> </w:t>
      </w:r>
      <w:r>
        <w:rPr>
          <w:rFonts w:ascii="Tahoma" w:eastAsia="Trebuchet MS" w:hAnsi="Tahoma" w:cs="Tahoma"/>
          <w:sz w:val="24"/>
          <w:szCs w:val="24"/>
          <w:lang w:eastAsia="ja-JP"/>
        </w:rPr>
        <w:t>anterior.</w:t>
      </w:r>
      <w:bookmarkStart w:id="17" w:name="_Toc433291694"/>
    </w:p>
    <w:p w:rsidR="00C865BB" w:rsidRDefault="00C865BB" w:rsidP="00C865BB">
      <w:pPr>
        <w:pStyle w:val="Cabealho2"/>
        <w:keepNext w:val="0"/>
        <w:keepLines w:val="0"/>
        <w:spacing w:before="0" w:after="240" w:line="240" w:lineRule="auto"/>
        <w:ind w:left="142" w:hanging="142"/>
        <w:rPr>
          <w:rFonts w:ascii="Tahoma" w:hAnsi="Tahoma" w:cs="Tahoma"/>
          <w:color w:val="auto"/>
          <w:sz w:val="24"/>
          <w:szCs w:val="24"/>
        </w:rPr>
      </w:pPr>
      <w:bookmarkStart w:id="18" w:name="_Toc440657382"/>
      <w:r w:rsidRPr="00AD2EB9">
        <w:rPr>
          <w:rFonts w:ascii="Tahoma" w:hAnsi="Tahoma" w:cs="Tahoma"/>
          <w:color w:val="auto"/>
          <w:sz w:val="24"/>
          <w:szCs w:val="24"/>
        </w:rPr>
        <w:t>3</w:t>
      </w:r>
      <w:r>
        <w:rPr>
          <w:rFonts w:ascii="Tahoma" w:hAnsi="Tahoma" w:cs="Tahoma"/>
          <w:color w:val="auto"/>
          <w:sz w:val="24"/>
          <w:szCs w:val="24"/>
        </w:rPr>
        <w:t>.1.1</w:t>
      </w:r>
      <w:r w:rsidRPr="00AD2EB9">
        <w:rPr>
          <w:rFonts w:ascii="Tahoma" w:hAnsi="Tahoma" w:cs="Tahoma"/>
          <w:color w:val="auto"/>
          <w:sz w:val="24"/>
          <w:szCs w:val="24"/>
        </w:rPr>
        <w:t>. Endividamento Público para o Relançamento da Economia</w:t>
      </w:r>
      <w:bookmarkEnd w:id="18"/>
    </w:p>
    <w:p w:rsidR="00C865BB" w:rsidRPr="00E5633E" w:rsidRDefault="00C865BB" w:rsidP="00C865BB">
      <w:pPr>
        <w:pStyle w:val="PargrafodaLista"/>
        <w:numPr>
          <w:ilvl w:val="0"/>
          <w:numId w:val="21"/>
        </w:numPr>
        <w:spacing w:after="240" w:line="240" w:lineRule="auto"/>
        <w:ind w:left="142" w:right="-488" w:hanging="142"/>
        <w:contextualSpacing w:val="0"/>
        <w:jc w:val="both"/>
        <w:rPr>
          <w:rFonts w:ascii="Tahoma" w:hAnsi="Tahoma" w:cs="Tahoma"/>
          <w:sz w:val="24"/>
          <w:szCs w:val="24"/>
        </w:rPr>
      </w:pPr>
      <w:r>
        <w:rPr>
          <w:rFonts w:ascii="Tahoma" w:hAnsi="Tahoma" w:cs="Tahoma"/>
          <w:sz w:val="24"/>
          <w:szCs w:val="24"/>
        </w:rPr>
        <w:t xml:space="preserve">Com efeito </w:t>
      </w:r>
      <w:r w:rsidRPr="00E5633E">
        <w:rPr>
          <w:rFonts w:ascii="Tahoma" w:hAnsi="Tahoma" w:cs="Tahoma"/>
          <w:sz w:val="24"/>
          <w:szCs w:val="24"/>
        </w:rPr>
        <w:t>o endividamento público deverá servir três objectivos</w:t>
      </w:r>
      <w:r>
        <w:rPr>
          <w:rFonts w:ascii="Tahoma" w:hAnsi="Tahoma" w:cs="Tahoma"/>
          <w:sz w:val="24"/>
          <w:szCs w:val="24"/>
        </w:rPr>
        <w:t>:</w:t>
      </w:r>
    </w:p>
    <w:p w:rsidR="00C865BB" w:rsidRDefault="00C865BB" w:rsidP="007155D7">
      <w:pPr>
        <w:pStyle w:val="PargrafodaLista"/>
        <w:numPr>
          <w:ilvl w:val="0"/>
          <w:numId w:val="23"/>
        </w:numPr>
        <w:spacing w:after="240" w:line="240" w:lineRule="auto"/>
        <w:ind w:right="-488"/>
        <w:contextualSpacing w:val="0"/>
        <w:jc w:val="both"/>
        <w:rPr>
          <w:rFonts w:ascii="Tahoma" w:hAnsi="Tahoma" w:cs="Tahoma"/>
          <w:sz w:val="24"/>
          <w:szCs w:val="24"/>
        </w:rPr>
      </w:pPr>
      <w:r w:rsidRPr="00E5633E">
        <w:rPr>
          <w:rFonts w:ascii="Tahoma" w:hAnsi="Tahoma" w:cs="Tahoma"/>
          <w:sz w:val="24"/>
          <w:szCs w:val="24"/>
        </w:rPr>
        <w:t xml:space="preserve">Financiamento das despesas correntes para </w:t>
      </w:r>
      <w:r>
        <w:rPr>
          <w:rFonts w:ascii="Tahoma" w:hAnsi="Tahoma" w:cs="Tahoma"/>
          <w:sz w:val="24"/>
          <w:szCs w:val="24"/>
        </w:rPr>
        <w:t>assegurar a previsibilidade da execução do OGE;</w:t>
      </w:r>
    </w:p>
    <w:p w:rsidR="00C865BB" w:rsidRDefault="00C865BB" w:rsidP="007155D7">
      <w:pPr>
        <w:pStyle w:val="PargrafodaLista"/>
        <w:numPr>
          <w:ilvl w:val="0"/>
          <w:numId w:val="23"/>
        </w:numPr>
        <w:spacing w:after="240" w:line="240" w:lineRule="auto"/>
        <w:ind w:right="-488"/>
        <w:contextualSpacing w:val="0"/>
        <w:jc w:val="both"/>
        <w:rPr>
          <w:rFonts w:ascii="Tahoma" w:hAnsi="Tahoma" w:cs="Tahoma"/>
          <w:sz w:val="24"/>
          <w:szCs w:val="24"/>
        </w:rPr>
      </w:pPr>
      <w:r w:rsidRPr="007155D7">
        <w:rPr>
          <w:rFonts w:ascii="Tahoma" w:hAnsi="Tahoma" w:cs="Tahoma"/>
          <w:sz w:val="24"/>
          <w:szCs w:val="24"/>
        </w:rPr>
        <w:t>Financiamento da despesa de capital;</w:t>
      </w:r>
    </w:p>
    <w:p w:rsidR="00C865BB" w:rsidRPr="007155D7" w:rsidRDefault="00C865BB" w:rsidP="007155D7">
      <w:pPr>
        <w:pStyle w:val="PargrafodaLista"/>
        <w:numPr>
          <w:ilvl w:val="0"/>
          <w:numId w:val="23"/>
        </w:numPr>
        <w:spacing w:after="240" w:line="240" w:lineRule="auto"/>
        <w:ind w:right="-488"/>
        <w:contextualSpacing w:val="0"/>
        <w:jc w:val="both"/>
        <w:rPr>
          <w:rFonts w:ascii="Tahoma" w:hAnsi="Tahoma" w:cs="Tahoma"/>
          <w:sz w:val="24"/>
          <w:szCs w:val="24"/>
        </w:rPr>
      </w:pPr>
      <w:r w:rsidRPr="007155D7">
        <w:rPr>
          <w:rFonts w:ascii="Tahoma" w:hAnsi="Tahoma" w:cs="Tahoma"/>
          <w:sz w:val="24"/>
          <w:szCs w:val="24"/>
        </w:rPr>
        <w:t>Repasse ao sector privado, de acordo com as con</w:t>
      </w:r>
      <w:r w:rsidR="007155D7">
        <w:rPr>
          <w:rFonts w:ascii="Tahoma" w:hAnsi="Tahoma" w:cs="Tahoma"/>
          <w:sz w:val="24"/>
          <w:szCs w:val="24"/>
        </w:rPr>
        <w:t>dições estabelecidas no ponto 24 abaixo</w:t>
      </w:r>
      <w:r w:rsidRPr="007155D7">
        <w:rPr>
          <w:rFonts w:ascii="Tahoma" w:hAnsi="Tahoma" w:cs="Tahoma"/>
          <w:sz w:val="24"/>
          <w:szCs w:val="24"/>
        </w:rPr>
        <w:t>.</w:t>
      </w:r>
    </w:p>
    <w:p w:rsidR="00C865BB" w:rsidRPr="007155D7" w:rsidRDefault="00C865BB" w:rsidP="007155D7">
      <w:pPr>
        <w:rPr>
          <w:rFonts w:ascii="Tahoma" w:hAnsi="Tahoma"/>
          <w:b/>
          <w:sz w:val="24"/>
          <w:szCs w:val="24"/>
        </w:rPr>
      </w:pPr>
      <w:r w:rsidRPr="007155D7">
        <w:rPr>
          <w:rFonts w:ascii="Tahoma" w:hAnsi="Tahoma"/>
          <w:b/>
          <w:sz w:val="24"/>
          <w:szCs w:val="24"/>
        </w:rPr>
        <w:t xml:space="preserve"> </w:t>
      </w:r>
      <w:r w:rsidR="007155D7" w:rsidRPr="007155D7">
        <w:rPr>
          <w:rFonts w:ascii="Tahoma" w:hAnsi="Tahoma"/>
          <w:b/>
          <w:sz w:val="24"/>
          <w:szCs w:val="24"/>
        </w:rPr>
        <w:tab/>
      </w:r>
      <w:r w:rsidR="007155D7" w:rsidRPr="007155D7">
        <w:rPr>
          <w:rFonts w:ascii="Tahoma" w:hAnsi="Tahoma"/>
          <w:b/>
          <w:sz w:val="24"/>
          <w:szCs w:val="24"/>
        </w:rPr>
        <w:tab/>
        <w:t xml:space="preserve">A. </w:t>
      </w:r>
      <w:r w:rsidRPr="007155D7">
        <w:rPr>
          <w:rFonts w:ascii="Tahoma" w:hAnsi="Tahoma"/>
          <w:b/>
          <w:sz w:val="24"/>
          <w:szCs w:val="24"/>
        </w:rPr>
        <w:t xml:space="preserve">Investimento Público </w:t>
      </w:r>
    </w:p>
    <w:p w:rsidR="00C865BB" w:rsidRPr="00895D90" w:rsidRDefault="00C865BB" w:rsidP="00C865BB">
      <w:pPr>
        <w:pStyle w:val="PargrafodaLista"/>
        <w:numPr>
          <w:ilvl w:val="0"/>
          <w:numId w:val="21"/>
        </w:numPr>
        <w:spacing w:after="120" w:line="240" w:lineRule="auto"/>
        <w:ind w:left="142" w:right="-488" w:hanging="142"/>
        <w:contextualSpacing w:val="0"/>
        <w:jc w:val="both"/>
        <w:rPr>
          <w:rFonts w:ascii="Tahoma" w:hAnsi="Tahoma"/>
          <w:b/>
          <w:sz w:val="24"/>
          <w:szCs w:val="24"/>
        </w:rPr>
      </w:pPr>
      <w:r>
        <w:rPr>
          <w:rFonts w:ascii="Tahoma" w:hAnsi="Tahoma" w:cs="Tahoma"/>
          <w:sz w:val="24"/>
          <w:szCs w:val="24"/>
        </w:rPr>
        <w:t xml:space="preserve">Nas circunstanciais actuais os investimentos públicos deverão concentrar-se cada vez mais </w:t>
      </w:r>
      <w:r w:rsidRPr="00A73C6E">
        <w:rPr>
          <w:rFonts w:ascii="Tahoma" w:hAnsi="Tahoma" w:cs="Tahoma"/>
          <w:sz w:val="24"/>
          <w:szCs w:val="24"/>
        </w:rPr>
        <w:t xml:space="preserve"> </w:t>
      </w:r>
      <w:r>
        <w:rPr>
          <w:rFonts w:ascii="Tahoma" w:hAnsi="Tahoma" w:cs="Tahoma"/>
          <w:sz w:val="24"/>
          <w:szCs w:val="24"/>
        </w:rPr>
        <w:t xml:space="preserve"> </w:t>
      </w:r>
      <w:r w:rsidRPr="00A73C6E">
        <w:rPr>
          <w:rFonts w:ascii="Tahoma" w:hAnsi="Tahoma" w:cs="Tahoma"/>
          <w:sz w:val="24"/>
          <w:szCs w:val="24"/>
        </w:rPr>
        <w:t>nos projectos estruturantes provedores de bens públicos</w:t>
      </w:r>
      <w:r>
        <w:rPr>
          <w:rFonts w:ascii="Tahoma" w:hAnsi="Tahoma" w:cs="Tahoma"/>
          <w:sz w:val="24"/>
          <w:szCs w:val="24"/>
        </w:rPr>
        <w:t xml:space="preserve"> </w:t>
      </w:r>
      <w:r w:rsidRPr="0003051C">
        <w:rPr>
          <w:rFonts w:ascii="Tahoma" w:hAnsi="Tahoma" w:cs="Tahoma"/>
          <w:sz w:val="24"/>
          <w:szCs w:val="24"/>
        </w:rPr>
        <w:t>e promotores da diversificação da economia</w:t>
      </w:r>
      <w:r w:rsidRPr="00A73C6E">
        <w:rPr>
          <w:rFonts w:ascii="Tahoma" w:hAnsi="Tahoma" w:cs="Tahoma"/>
          <w:sz w:val="24"/>
          <w:szCs w:val="24"/>
        </w:rPr>
        <w:t>,</w:t>
      </w:r>
      <w:r w:rsidRPr="00895D90">
        <w:rPr>
          <w:rFonts w:ascii="Tahoma" w:hAnsi="Tahoma" w:cs="Tahoma"/>
          <w:sz w:val="24"/>
          <w:szCs w:val="24"/>
        </w:rPr>
        <w:t xml:space="preserve"> </w:t>
      </w:r>
      <w:r>
        <w:rPr>
          <w:rFonts w:ascii="Tahoma" w:hAnsi="Tahoma" w:cs="Tahoma"/>
          <w:sz w:val="24"/>
          <w:szCs w:val="24"/>
        </w:rPr>
        <w:t>sobretudo daqueles que contribuem para a viabilização e aumento da produtividade dos investimentos privados.</w:t>
      </w:r>
    </w:p>
    <w:p w:rsidR="00C865BB" w:rsidRPr="00E10B58" w:rsidRDefault="00C865BB" w:rsidP="007155D7">
      <w:pPr>
        <w:pStyle w:val="PargrafodaLista"/>
        <w:numPr>
          <w:ilvl w:val="0"/>
          <w:numId w:val="24"/>
        </w:numPr>
        <w:spacing w:after="120" w:line="240" w:lineRule="auto"/>
        <w:ind w:right="-488"/>
        <w:contextualSpacing w:val="0"/>
        <w:jc w:val="both"/>
        <w:rPr>
          <w:rFonts w:ascii="Tahoma" w:hAnsi="Tahoma"/>
          <w:b/>
          <w:sz w:val="24"/>
          <w:szCs w:val="24"/>
        </w:rPr>
      </w:pPr>
      <w:r w:rsidRPr="00456427">
        <w:rPr>
          <w:rFonts w:ascii="Tahoma" w:hAnsi="Tahoma"/>
          <w:b/>
          <w:sz w:val="24"/>
          <w:szCs w:val="24"/>
        </w:rPr>
        <w:t>Investimento Privado</w:t>
      </w:r>
    </w:p>
    <w:p w:rsidR="00C865BB" w:rsidRPr="00EB5B0E" w:rsidRDefault="00C865BB" w:rsidP="007155D7">
      <w:pPr>
        <w:pStyle w:val="PargrafodaLista"/>
        <w:numPr>
          <w:ilvl w:val="0"/>
          <w:numId w:val="21"/>
        </w:numPr>
        <w:spacing w:after="120" w:line="240" w:lineRule="auto"/>
        <w:ind w:right="-488"/>
        <w:contextualSpacing w:val="0"/>
        <w:jc w:val="both"/>
        <w:rPr>
          <w:rFonts w:ascii="Tahoma" w:hAnsi="Tahoma" w:cs="Tahoma"/>
          <w:sz w:val="24"/>
          <w:szCs w:val="24"/>
        </w:rPr>
      </w:pPr>
      <w:r>
        <w:rPr>
          <w:rFonts w:ascii="Tahoma" w:hAnsi="Tahoma" w:cs="Tahoma"/>
          <w:sz w:val="24"/>
          <w:szCs w:val="24"/>
        </w:rPr>
        <w:t xml:space="preserve">Deverão utilizar-se </w:t>
      </w:r>
      <w:r w:rsidRPr="00EB5B0E">
        <w:rPr>
          <w:rFonts w:ascii="Tahoma" w:hAnsi="Tahoma" w:cs="Tahoma"/>
          <w:sz w:val="24"/>
          <w:szCs w:val="24"/>
        </w:rPr>
        <w:t xml:space="preserve">os saldos de linhas de crédito existentes, estimados em 5,47 bilhões de dólares americanos, antes contraídas para fins públicos, </w:t>
      </w:r>
      <w:r>
        <w:rPr>
          <w:rFonts w:ascii="Tahoma" w:hAnsi="Tahoma" w:cs="Tahoma"/>
          <w:sz w:val="24"/>
          <w:szCs w:val="24"/>
        </w:rPr>
        <w:t xml:space="preserve">para </w:t>
      </w:r>
      <w:r w:rsidRPr="00EB5B0E">
        <w:rPr>
          <w:rFonts w:ascii="Tahoma" w:hAnsi="Tahoma" w:cs="Tahoma"/>
          <w:sz w:val="24"/>
          <w:szCs w:val="24"/>
        </w:rPr>
        <w:t xml:space="preserve">financiar projectos </w:t>
      </w:r>
      <w:r w:rsidRPr="0003051C">
        <w:rPr>
          <w:rFonts w:ascii="Tahoma" w:hAnsi="Tahoma"/>
          <w:sz w:val="24"/>
          <w:szCs w:val="24"/>
        </w:rPr>
        <w:t xml:space="preserve">privados de elevada rendibilidade e </w:t>
      </w:r>
      <w:r>
        <w:rPr>
          <w:rFonts w:ascii="Tahoma" w:hAnsi="Tahoma"/>
          <w:sz w:val="24"/>
          <w:szCs w:val="24"/>
        </w:rPr>
        <w:t xml:space="preserve">que sejam </w:t>
      </w:r>
      <w:r w:rsidRPr="0003051C">
        <w:rPr>
          <w:rFonts w:ascii="Tahoma" w:hAnsi="Tahoma"/>
          <w:sz w:val="24"/>
          <w:szCs w:val="24"/>
        </w:rPr>
        <w:t>promotores da diversificação da produção e das exportações</w:t>
      </w:r>
      <w:r w:rsidRPr="00EB5B0E">
        <w:rPr>
          <w:rFonts w:ascii="Tahoma" w:hAnsi="Tahoma" w:cs="Tahoma"/>
          <w:sz w:val="24"/>
          <w:szCs w:val="24"/>
        </w:rPr>
        <w:t>. Este exercício poder ser feito por via de:</w:t>
      </w:r>
    </w:p>
    <w:p w:rsidR="00C865BB" w:rsidRPr="003D0040" w:rsidRDefault="00C865BB" w:rsidP="003D0040">
      <w:pPr>
        <w:pStyle w:val="PargrafodaLista"/>
        <w:numPr>
          <w:ilvl w:val="0"/>
          <w:numId w:val="39"/>
        </w:numPr>
        <w:shd w:val="clear" w:color="auto" w:fill="FFFFFF"/>
        <w:tabs>
          <w:tab w:val="left" w:pos="426"/>
        </w:tabs>
        <w:spacing w:before="120" w:after="0" w:line="240" w:lineRule="auto"/>
        <w:contextualSpacing w:val="0"/>
        <w:jc w:val="both"/>
        <w:rPr>
          <w:rFonts w:ascii="Tahoma" w:hAnsi="Tahoma" w:cs="Tahoma"/>
          <w:sz w:val="24"/>
          <w:szCs w:val="24"/>
        </w:rPr>
      </w:pPr>
      <w:r w:rsidRPr="00EB5B0E">
        <w:rPr>
          <w:rFonts w:ascii="Tahoma" w:hAnsi="Tahoma" w:cs="Tahoma"/>
          <w:sz w:val="24"/>
          <w:szCs w:val="24"/>
        </w:rPr>
        <w:lastRenderedPageBreak/>
        <w:t xml:space="preserve">Endividamento directo, mediante contratação de recursos por conta do Tesouro Nacional, transferidos em seguida para a Banca de Desenvolvimento por via da modalidade </w:t>
      </w:r>
      <w:r w:rsidRPr="00EB5B0E">
        <w:rPr>
          <w:rFonts w:ascii="Tahoma" w:hAnsi="Tahoma" w:cs="Tahoma"/>
          <w:i/>
          <w:sz w:val="24"/>
          <w:szCs w:val="24"/>
        </w:rPr>
        <w:t>on-lending;</w:t>
      </w:r>
    </w:p>
    <w:p w:rsidR="00C865BB" w:rsidRDefault="003D0040" w:rsidP="003D0040">
      <w:pPr>
        <w:pStyle w:val="PargrafodaLista"/>
        <w:numPr>
          <w:ilvl w:val="0"/>
          <w:numId w:val="39"/>
        </w:numPr>
        <w:shd w:val="clear" w:color="auto" w:fill="FFFFFF"/>
        <w:tabs>
          <w:tab w:val="left" w:pos="426"/>
        </w:tabs>
        <w:spacing w:before="120" w:after="0" w:line="240" w:lineRule="auto"/>
        <w:contextualSpacing w:val="0"/>
        <w:jc w:val="both"/>
        <w:rPr>
          <w:rFonts w:ascii="Tahoma" w:hAnsi="Tahoma" w:cs="Tahoma"/>
          <w:sz w:val="24"/>
          <w:szCs w:val="24"/>
        </w:rPr>
      </w:pPr>
      <w:r>
        <w:rPr>
          <w:rFonts w:ascii="Tahoma" w:hAnsi="Tahoma" w:cs="Tahoma"/>
          <w:sz w:val="24"/>
          <w:szCs w:val="24"/>
        </w:rPr>
        <w:t>Endividamento i</w:t>
      </w:r>
      <w:r w:rsidR="00C865BB" w:rsidRPr="003D0040">
        <w:rPr>
          <w:rFonts w:ascii="Tahoma" w:hAnsi="Tahoma" w:cs="Tahoma"/>
          <w:sz w:val="24"/>
          <w:szCs w:val="24"/>
        </w:rPr>
        <w:t>ndirecto, mediante prestação de garantias soberanas para projectos privados;</w:t>
      </w:r>
    </w:p>
    <w:p w:rsidR="00C865BB" w:rsidRPr="003D0040" w:rsidRDefault="00C865BB" w:rsidP="003D0040">
      <w:pPr>
        <w:pStyle w:val="PargrafodaLista"/>
        <w:numPr>
          <w:ilvl w:val="0"/>
          <w:numId w:val="39"/>
        </w:numPr>
        <w:shd w:val="clear" w:color="auto" w:fill="FFFFFF"/>
        <w:tabs>
          <w:tab w:val="left" w:pos="426"/>
        </w:tabs>
        <w:spacing w:before="120" w:after="0" w:line="240" w:lineRule="auto"/>
        <w:contextualSpacing w:val="0"/>
        <w:jc w:val="both"/>
        <w:rPr>
          <w:rFonts w:ascii="Tahoma" w:hAnsi="Tahoma" w:cs="Tahoma"/>
          <w:sz w:val="24"/>
          <w:szCs w:val="24"/>
        </w:rPr>
      </w:pPr>
      <w:r w:rsidRPr="003D0040">
        <w:rPr>
          <w:rFonts w:ascii="Tahoma" w:hAnsi="Tahoma" w:cs="Tahoma"/>
          <w:sz w:val="24"/>
          <w:szCs w:val="24"/>
        </w:rPr>
        <w:t>Aporte de recursos a fundos de promoção ao Investimento, mediante operações de capitalização, com recursos de Tesouraria a ser mobilizados de facilidades de crédito</w:t>
      </w:r>
      <w:r w:rsidRPr="003D0040">
        <w:rPr>
          <w:rFonts w:ascii="Tahoma" w:hAnsi="Tahoma" w:cs="Tahoma"/>
          <w:color w:val="00B050"/>
          <w:sz w:val="24"/>
          <w:szCs w:val="24"/>
        </w:rPr>
        <w:t>.</w:t>
      </w:r>
    </w:p>
    <w:p w:rsidR="003D0040" w:rsidRPr="003D0040" w:rsidRDefault="003D0040" w:rsidP="003D0040">
      <w:pPr>
        <w:pStyle w:val="PargrafodaLista"/>
        <w:shd w:val="clear" w:color="auto" w:fill="FFFFFF"/>
        <w:tabs>
          <w:tab w:val="left" w:pos="426"/>
        </w:tabs>
        <w:spacing w:before="120" w:after="0" w:line="240" w:lineRule="auto"/>
        <w:ind w:left="2880"/>
        <w:contextualSpacing w:val="0"/>
        <w:jc w:val="both"/>
        <w:rPr>
          <w:rFonts w:ascii="Tahoma" w:hAnsi="Tahoma" w:cs="Tahoma"/>
          <w:sz w:val="24"/>
          <w:szCs w:val="24"/>
        </w:rPr>
      </w:pPr>
    </w:p>
    <w:bookmarkEnd w:id="17"/>
    <w:p w:rsidR="00C865BB"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Explorar a possibilidade de conversão das facilidades de crédito à exportação existentes em empréstimos financeiros e procurar financiamento adicional para suporte à economia.</w:t>
      </w:r>
    </w:p>
    <w:p w:rsidR="00C865BB" w:rsidRPr="00897A4F"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 xml:space="preserve">Trabalhar no sentido da criação de Fundos de Investimento capazes de captar poupança nacional, sobretudo de cidadãos nacionais com poupanças sediadas em instituições financeiras localizadas fora do país. </w:t>
      </w:r>
    </w:p>
    <w:p w:rsidR="00C865BB" w:rsidRPr="00897A4F" w:rsidRDefault="00C865BB" w:rsidP="00C865BB">
      <w:pPr>
        <w:pStyle w:val="PargrafodaLista"/>
        <w:spacing w:after="120" w:line="240" w:lineRule="auto"/>
        <w:ind w:left="142" w:right="-488" w:hanging="142"/>
        <w:contextualSpacing w:val="0"/>
        <w:jc w:val="both"/>
        <w:rPr>
          <w:rFonts w:ascii="Tahoma" w:hAnsi="Tahoma" w:cs="Tahoma"/>
          <w:sz w:val="24"/>
          <w:szCs w:val="24"/>
        </w:rPr>
      </w:pPr>
    </w:p>
    <w:p w:rsidR="00C865BB" w:rsidRPr="00AD2EB9" w:rsidRDefault="00C865BB" w:rsidP="00C865BB">
      <w:pPr>
        <w:pStyle w:val="PargrafodaLista"/>
        <w:numPr>
          <w:ilvl w:val="1"/>
          <w:numId w:val="4"/>
        </w:numPr>
        <w:spacing w:after="120" w:line="240" w:lineRule="auto"/>
        <w:ind w:left="142" w:hanging="142"/>
        <w:outlineLvl w:val="1"/>
        <w:rPr>
          <w:rFonts w:ascii="Tahoma" w:eastAsia="Trebuchet MS" w:hAnsi="Tahoma" w:cs="Tahoma"/>
          <w:b/>
          <w:sz w:val="28"/>
          <w:szCs w:val="32"/>
          <w:lang w:eastAsia="ja-JP"/>
        </w:rPr>
      </w:pPr>
      <w:bookmarkStart w:id="19" w:name="_Toc440657383"/>
      <w:r w:rsidRPr="00AD2EB9">
        <w:rPr>
          <w:rFonts w:ascii="Tahoma" w:eastAsia="Trebuchet MS" w:hAnsi="Tahoma" w:cs="Tahoma"/>
          <w:b/>
          <w:sz w:val="28"/>
          <w:szCs w:val="32"/>
          <w:lang w:eastAsia="ja-JP"/>
        </w:rPr>
        <w:t>Eficiência e Eficácia dos Investimentos Privados</w:t>
      </w:r>
      <w:bookmarkEnd w:id="19"/>
    </w:p>
    <w:p w:rsidR="00C865BB" w:rsidRPr="00AD2EB9" w:rsidRDefault="00C865BB" w:rsidP="00C865BB">
      <w:pPr>
        <w:pStyle w:val="PargrafodaLista"/>
        <w:spacing w:after="120" w:line="240" w:lineRule="auto"/>
        <w:ind w:left="142" w:hanging="142"/>
        <w:rPr>
          <w:rFonts w:ascii="Tahoma" w:eastAsia="Trebuchet MS" w:hAnsi="Tahoma" w:cs="Tahoma"/>
          <w:b/>
          <w:sz w:val="28"/>
          <w:szCs w:val="32"/>
          <w:lang w:eastAsia="ja-JP"/>
        </w:rPr>
      </w:pPr>
    </w:p>
    <w:p w:rsidR="00C865BB" w:rsidRPr="00407BAD"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407BAD">
        <w:rPr>
          <w:rFonts w:ascii="Tahoma" w:hAnsi="Tahoma" w:cs="Tahoma"/>
          <w:sz w:val="24"/>
          <w:szCs w:val="24"/>
        </w:rPr>
        <w:t>Para garantir a efi</w:t>
      </w:r>
      <w:r>
        <w:rPr>
          <w:rFonts w:ascii="Tahoma" w:hAnsi="Tahoma" w:cs="Tahoma"/>
          <w:sz w:val="24"/>
          <w:szCs w:val="24"/>
        </w:rPr>
        <w:t>ciê</w:t>
      </w:r>
      <w:r w:rsidRPr="00407BAD">
        <w:rPr>
          <w:rFonts w:ascii="Tahoma" w:hAnsi="Tahoma" w:cs="Tahoma"/>
          <w:sz w:val="24"/>
          <w:szCs w:val="24"/>
        </w:rPr>
        <w:t>ncia e eficácia dos investimentos privados há que assegurar</w:t>
      </w:r>
      <w:r>
        <w:rPr>
          <w:rFonts w:ascii="Tahoma" w:hAnsi="Tahoma" w:cs="Tahoma"/>
          <w:sz w:val="24"/>
          <w:szCs w:val="24"/>
        </w:rPr>
        <w:t xml:space="preserve"> o seguinte</w:t>
      </w:r>
      <w:r w:rsidRPr="00407BAD">
        <w:rPr>
          <w:rFonts w:ascii="Tahoma" w:hAnsi="Tahoma" w:cs="Tahoma"/>
          <w:sz w:val="24"/>
          <w:szCs w:val="24"/>
        </w:rPr>
        <w:t>:</w:t>
      </w:r>
    </w:p>
    <w:p w:rsidR="007155D7" w:rsidRDefault="00C865BB" w:rsidP="007155D7">
      <w:pPr>
        <w:pStyle w:val="PargrafodaLista"/>
        <w:numPr>
          <w:ilvl w:val="0"/>
          <w:numId w:val="25"/>
        </w:numPr>
        <w:spacing w:after="120" w:line="240" w:lineRule="auto"/>
        <w:ind w:right="-488"/>
        <w:jc w:val="both"/>
        <w:rPr>
          <w:rFonts w:ascii="Tahoma" w:hAnsi="Tahoma" w:cs="Tahoma"/>
          <w:sz w:val="24"/>
          <w:szCs w:val="24"/>
        </w:rPr>
      </w:pPr>
      <w:r w:rsidRPr="00AD2EB9">
        <w:rPr>
          <w:rFonts w:ascii="Tahoma" w:hAnsi="Tahoma" w:cs="Tahoma"/>
          <w:sz w:val="24"/>
          <w:szCs w:val="24"/>
        </w:rPr>
        <w:t>Que</w:t>
      </w:r>
      <w:r>
        <w:rPr>
          <w:rFonts w:ascii="Tahoma" w:hAnsi="Tahoma" w:cs="Tahoma"/>
          <w:sz w:val="24"/>
          <w:szCs w:val="24"/>
        </w:rPr>
        <w:t xml:space="preserve"> os investimentos privados quer sejam nacionais ou estrangeiros não </w:t>
      </w:r>
      <w:r w:rsidRPr="00AD2EB9">
        <w:rPr>
          <w:rFonts w:ascii="Tahoma" w:hAnsi="Tahoma" w:cs="Tahoma"/>
          <w:sz w:val="24"/>
          <w:szCs w:val="24"/>
        </w:rPr>
        <w:t xml:space="preserve"> devem ser feitos de modo desgarrado, difuso e </w:t>
      </w:r>
      <w:r w:rsidRPr="0003051C">
        <w:rPr>
          <w:rFonts w:ascii="Tahoma" w:hAnsi="Tahoma" w:cs="Tahoma"/>
          <w:sz w:val="24"/>
          <w:szCs w:val="24"/>
        </w:rPr>
        <w:t>casuístico</w:t>
      </w:r>
      <w:r>
        <w:rPr>
          <w:rFonts w:ascii="Tahoma" w:hAnsi="Tahoma" w:cs="Tahoma"/>
          <w:sz w:val="24"/>
          <w:szCs w:val="24"/>
        </w:rPr>
        <w:t>;</w:t>
      </w:r>
    </w:p>
    <w:p w:rsidR="007155D7" w:rsidRDefault="007155D7" w:rsidP="007155D7">
      <w:pPr>
        <w:pStyle w:val="PargrafodaLista"/>
        <w:spacing w:after="120" w:line="240" w:lineRule="auto"/>
        <w:ind w:left="2136" w:right="-488"/>
        <w:jc w:val="both"/>
        <w:rPr>
          <w:rFonts w:ascii="Tahoma" w:hAnsi="Tahoma" w:cs="Tahoma"/>
          <w:sz w:val="24"/>
          <w:szCs w:val="24"/>
        </w:rPr>
      </w:pPr>
    </w:p>
    <w:p w:rsidR="00C865BB" w:rsidRDefault="00C865BB" w:rsidP="007155D7">
      <w:pPr>
        <w:pStyle w:val="PargrafodaLista"/>
        <w:numPr>
          <w:ilvl w:val="0"/>
          <w:numId w:val="25"/>
        </w:numPr>
        <w:spacing w:after="120" w:line="240" w:lineRule="auto"/>
        <w:ind w:right="-488"/>
        <w:jc w:val="both"/>
        <w:rPr>
          <w:rFonts w:ascii="Tahoma" w:hAnsi="Tahoma" w:cs="Tahoma"/>
          <w:sz w:val="24"/>
          <w:szCs w:val="24"/>
        </w:rPr>
      </w:pPr>
      <w:r>
        <w:rPr>
          <w:rFonts w:ascii="Tahoma" w:hAnsi="Tahoma" w:cs="Tahoma"/>
          <w:sz w:val="24"/>
          <w:szCs w:val="24"/>
        </w:rPr>
        <w:t xml:space="preserve">  </w:t>
      </w:r>
      <w:r w:rsidRPr="007155D7">
        <w:rPr>
          <w:rFonts w:ascii="Tahoma" w:hAnsi="Tahoma" w:cs="Tahoma"/>
          <w:sz w:val="24"/>
          <w:szCs w:val="24"/>
        </w:rPr>
        <w:t xml:space="preserve">Os investimentos devem ser feitos na base de Programas Dirigidos a serem definidos pelo Executivo, com vista a aumentar a produção interna </w:t>
      </w:r>
      <w:r w:rsidR="007155D7">
        <w:rPr>
          <w:rFonts w:ascii="Tahoma" w:hAnsi="Tahoma" w:cs="Tahoma"/>
          <w:sz w:val="24"/>
          <w:szCs w:val="24"/>
        </w:rPr>
        <w:t xml:space="preserve">com vista ao </w:t>
      </w:r>
      <w:r w:rsidRPr="007155D7">
        <w:rPr>
          <w:rFonts w:ascii="Tahoma" w:hAnsi="Tahoma" w:cs="Tahoma"/>
          <w:sz w:val="24"/>
          <w:szCs w:val="24"/>
        </w:rPr>
        <w:t xml:space="preserve">  aumento das exportações a curto prazo e </w:t>
      </w:r>
      <w:r w:rsidR="007155D7">
        <w:rPr>
          <w:rFonts w:ascii="Tahoma" w:hAnsi="Tahoma" w:cs="Tahoma"/>
          <w:sz w:val="24"/>
          <w:szCs w:val="24"/>
        </w:rPr>
        <w:t xml:space="preserve">ao </w:t>
      </w:r>
      <w:r w:rsidRPr="007155D7">
        <w:rPr>
          <w:rFonts w:ascii="Tahoma" w:hAnsi="Tahoma" w:cs="Tahoma"/>
          <w:sz w:val="24"/>
          <w:szCs w:val="24"/>
        </w:rPr>
        <w:t>aumento</w:t>
      </w:r>
      <w:r w:rsidRPr="007155D7">
        <w:rPr>
          <w:rFonts w:ascii="Tahoma" w:hAnsi="Tahoma" w:cs="Tahoma"/>
          <w:color w:val="00B050"/>
          <w:sz w:val="24"/>
          <w:szCs w:val="24"/>
        </w:rPr>
        <w:t xml:space="preserve"> </w:t>
      </w:r>
      <w:r w:rsidRPr="007155D7">
        <w:rPr>
          <w:rFonts w:ascii="Tahoma" w:hAnsi="Tahoma" w:cs="Tahoma"/>
          <w:sz w:val="24"/>
          <w:szCs w:val="24"/>
        </w:rPr>
        <w:t>dos produtos da cesta básica e outros produtos essenciais para o consumo interno e para as exportações;</w:t>
      </w:r>
    </w:p>
    <w:p w:rsidR="007155D7" w:rsidRPr="007155D7" w:rsidRDefault="007155D7" w:rsidP="007155D7">
      <w:pPr>
        <w:pStyle w:val="PargrafodaLista"/>
        <w:rPr>
          <w:rFonts w:ascii="Tahoma" w:hAnsi="Tahoma" w:cs="Tahoma"/>
          <w:sz w:val="24"/>
          <w:szCs w:val="24"/>
        </w:rPr>
      </w:pPr>
    </w:p>
    <w:p w:rsidR="00C865BB" w:rsidRDefault="00C865BB" w:rsidP="007155D7">
      <w:pPr>
        <w:pStyle w:val="PargrafodaLista"/>
        <w:numPr>
          <w:ilvl w:val="0"/>
          <w:numId w:val="25"/>
        </w:numPr>
        <w:spacing w:after="120" w:line="240" w:lineRule="auto"/>
        <w:ind w:right="-488"/>
        <w:jc w:val="both"/>
        <w:rPr>
          <w:rFonts w:ascii="Tahoma" w:hAnsi="Tahoma" w:cs="Tahoma"/>
          <w:sz w:val="24"/>
          <w:szCs w:val="24"/>
        </w:rPr>
      </w:pPr>
      <w:r w:rsidRPr="007155D7">
        <w:rPr>
          <w:rFonts w:ascii="Tahoma" w:hAnsi="Tahoma" w:cs="Tahoma"/>
          <w:sz w:val="24"/>
          <w:szCs w:val="24"/>
        </w:rPr>
        <w:t>Os Programas Dirigidos visam o aumento rápido da produção nacional e das exportações de determinados produtos, evitam desperdícios de factores de produção e permitem ganhos de economias de escala;</w:t>
      </w:r>
    </w:p>
    <w:p w:rsidR="007155D7" w:rsidRPr="007155D7" w:rsidRDefault="007155D7" w:rsidP="007155D7">
      <w:pPr>
        <w:pStyle w:val="PargrafodaLista"/>
        <w:rPr>
          <w:rFonts w:ascii="Tahoma" w:hAnsi="Tahoma" w:cs="Tahoma"/>
          <w:sz w:val="24"/>
          <w:szCs w:val="24"/>
        </w:rPr>
      </w:pPr>
    </w:p>
    <w:p w:rsidR="00C865BB" w:rsidRDefault="00C865BB" w:rsidP="007155D7">
      <w:pPr>
        <w:pStyle w:val="PargrafodaLista"/>
        <w:numPr>
          <w:ilvl w:val="0"/>
          <w:numId w:val="25"/>
        </w:numPr>
        <w:spacing w:after="120" w:line="240" w:lineRule="auto"/>
        <w:ind w:right="-488"/>
        <w:jc w:val="both"/>
        <w:rPr>
          <w:rFonts w:ascii="Tahoma" w:hAnsi="Tahoma" w:cs="Tahoma"/>
          <w:sz w:val="24"/>
          <w:szCs w:val="24"/>
        </w:rPr>
      </w:pPr>
      <w:r w:rsidRPr="007155D7">
        <w:rPr>
          <w:rFonts w:ascii="Tahoma" w:hAnsi="Tahoma" w:cs="Tahoma"/>
          <w:sz w:val="24"/>
          <w:szCs w:val="24"/>
        </w:rPr>
        <w:t>Os investimentos públicos em infra-estruturas (energia, água, acessos, canais de irrigação, etc.) devem preferencialmente ser concebidos e estruturados para satisfazer as necessidades destes Programas Dirigidos;</w:t>
      </w:r>
    </w:p>
    <w:p w:rsidR="007155D7" w:rsidRPr="007155D7" w:rsidRDefault="007155D7" w:rsidP="007155D7">
      <w:pPr>
        <w:pStyle w:val="PargrafodaLista"/>
        <w:rPr>
          <w:rFonts w:ascii="Tahoma" w:hAnsi="Tahoma" w:cs="Tahoma"/>
          <w:sz w:val="24"/>
          <w:szCs w:val="24"/>
        </w:rPr>
      </w:pPr>
    </w:p>
    <w:p w:rsidR="00C865BB" w:rsidRDefault="00C865BB" w:rsidP="007155D7">
      <w:pPr>
        <w:pStyle w:val="PargrafodaLista"/>
        <w:numPr>
          <w:ilvl w:val="0"/>
          <w:numId w:val="25"/>
        </w:numPr>
        <w:spacing w:after="120" w:line="240" w:lineRule="auto"/>
        <w:ind w:right="-488"/>
        <w:jc w:val="both"/>
        <w:rPr>
          <w:rFonts w:ascii="Tahoma" w:hAnsi="Tahoma" w:cs="Tahoma"/>
          <w:sz w:val="24"/>
          <w:szCs w:val="24"/>
        </w:rPr>
      </w:pPr>
      <w:r w:rsidRPr="007155D7">
        <w:rPr>
          <w:rFonts w:ascii="Tahoma" w:hAnsi="Tahoma" w:cs="Tahoma"/>
          <w:sz w:val="24"/>
          <w:szCs w:val="24"/>
        </w:rPr>
        <w:t>Para garantir a rapidez de resultados há que seleccionar os parceiros internacionais mais adequados para cooperarem com os empresários nacionais no desenvolvimento dos Programas Dirigidos</w:t>
      </w:r>
      <w:r w:rsidR="007155D7">
        <w:rPr>
          <w:rFonts w:ascii="Tahoma" w:hAnsi="Tahoma" w:cs="Tahoma"/>
          <w:sz w:val="24"/>
          <w:szCs w:val="24"/>
        </w:rPr>
        <w:t xml:space="preserve">, </w:t>
      </w:r>
      <w:r w:rsidRPr="007155D7">
        <w:rPr>
          <w:rFonts w:ascii="Tahoma" w:hAnsi="Tahoma" w:cs="Tahoma"/>
          <w:sz w:val="24"/>
          <w:szCs w:val="24"/>
        </w:rPr>
        <w:t xml:space="preserve"> ensaiando </w:t>
      </w:r>
      <w:r w:rsidRPr="007155D7">
        <w:rPr>
          <w:rFonts w:ascii="Tahoma" w:hAnsi="Tahoma" w:cs="Tahoma"/>
          <w:sz w:val="24"/>
          <w:szCs w:val="24"/>
        </w:rPr>
        <w:lastRenderedPageBreak/>
        <w:t xml:space="preserve">sempre que possível </w:t>
      </w:r>
      <w:r w:rsidR="007155D7">
        <w:rPr>
          <w:rFonts w:ascii="Tahoma" w:hAnsi="Tahoma" w:cs="Tahoma"/>
          <w:sz w:val="24"/>
          <w:szCs w:val="24"/>
        </w:rPr>
        <w:t>os contratos de partilha de produção utilizados no sector dos petróleos;</w:t>
      </w:r>
      <w:r w:rsidRPr="007155D7">
        <w:rPr>
          <w:rFonts w:ascii="Tahoma" w:hAnsi="Tahoma" w:cs="Tahoma"/>
          <w:sz w:val="24"/>
          <w:szCs w:val="24"/>
        </w:rPr>
        <w:t xml:space="preserve"> </w:t>
      </w:r>
    </w:p>
    <w:p w:rsidR="007155D7" w:rsidRPr="007155D7" w:rsidRDefault="007155D7" w:rsidP="007155D7">
      <w:pPr>
        <w:pStyle w:val="PargrafodaLista"/>
        <w:rPr>
          <w:rFonts w:ascii="Tahoma" w:hAnsi="Tahoma" w:cs="Tahoma"/>
          <w:sz w:val="24"/>
          <w:szCs w:val="24"/>
        </w:rPr>
      </w:pPr>
    </w:p>
    <w:p w:rsidR="00C865BB" w:rsidRDefault="00C865BB" w:rsidP="007155D7">
      <w:pPr>
        <w:pStyle w:val="PargrafodaLista"/>
        <w:numPr>
          <w:ilvl w:val="0"/>
          <w:numId w:val="25"/>
        </w:numPr>
        <w:spacing w:after="120" w:line="240" w:lineRule="auto"/>
        <w:ind w:right="-488"/>
        <w:jc w:val="both"/>
        <w:rPr>
          <w:rFonts w:ascii="Tahoma" w:hAnsi="Tahoma" w:cs="Tahoma"/>
          <w:sz w:val="24"/>
          <w:szCs w:val="24"/>
        </w:rPr>
      </w:pPr>
      <w:r w:rsidRPr="007155D7">
        <w:rPr>
          <w:rFonts w:ascii="Tahoma" w:hAnsi="Tahoma" w:cs="Tahoma"/>
          <w:sz w:val="24"/>
          <w:szCs w:val="24"/>
        </w:rPr>
        <w:t>Aos parceiros estrangeiros nesta cooperação devem ser asseguradas facilidades migratórias apropriadas;</w:t>
      </w:r>
    </w:p>
    <w:p w:rsidR="007155D7" w:rsidRPr="007155D7" w:rsidRDefault="007155D7" w:rsidP="007155D7">
      <w:pPr>
        <w:pStyle w:val="PargrafodaLista"/>
        <w:rPr>
          <w:rFonts w:ascii="Tahoma" w:hAnsi="Tahoma" w:cs="Tahoma"/>
          <w:sz w:val="24"/>
          <w:szCs w:val="24"/>
        </w:rPr>
      </w:pPr>
    </w:p>
    <w:p w:rsidR="00C865BB" w:rsidRDefault="00C865BB" w:rsidP="007155D7">
      <w:pPr>
        <w:pStyle w:val="PargrafodaLista"/>
        <w:numPr>
          <w:ilvl w:val="0"/>
          <w:numId w:val="25"/>
        </w:numPr>
        <w:spacing w:after="120" w:line="240" w:lineRule="auto"/>
        <w:ind w:right="-488"/>
        <w:jc w:val="both"/>
        <w:rPr>
          <w:rFonts w:ascii="Tahoma" w:hAnsi="Tahoma" w:cs="Tahoma"/>
          <w:sz w:val="24"/>
          <w:szCs w:val="24"/>
        </w:rPr>
      </w:pPr>
      <w:r w:rsidRPr="007155D7">
        <w:rPr>
          <w:rFonts w:ascii="Tahoma" w:hAnsi="Tahoma" w:cs="Tahoma"/>
          <w:sz w:val="24"/>
          <w:szCs w:val="24"/>
        </w:rPr>
        <w:t>Os Programas Dirigidos devem conter a visão do que se pretende alcançar, os grandes objectivos e metas, as acções a serem desenvolvidas e os meios necessários que devem ser mobilizados para a sua concretização.</w:t>
      </w:r>
    </w:p>
    <w:p w:rsidR="007155D7" w:rsidRPr="007155D7" w:rsidRDefault="007155D7" w:rsidP="007155D7">
      <w:pPr>
        <w:pStyle w:val="PargrafodaLista"/>
        <w:rPr>
          <w:rFonts w:ascii="Tahoma" w:hAnsi="Tahoma" w:cs="Tahoma"/>
          <w:sz w:val="24"/>
          <w:szCs w:val="24"/>
        </w:rPr>
      </w:pPr>
    </w:p>
    <w:p w:rsidR="007155D7" w:rsidRPr="007155D7" w:rsidRDefault="007155D7" w:rsidP="007155D7">
      <w:pPr>
        <w:pStyle w:val="PargrafodaLista"/>
        <w:spacing w:after="120" w:line="240" w:lineRule="auto"/>
        <w:ind w:left="2136" w:right="-488"/>
        <w:jc w:val="both"/>
        <w:rPr>
          <w:rFonts w:ascii="Tahoma" w:hAnsi="Tahoma" w:cs="Tahoma"/>
          <w:sz w:val="24"/>
          <w:szCs w:val="24"/>
        </w:rPr>
      </w:pPr>
    </w:p>
    <w:p w:rsidR="00C865BB" w:rsidRPr="00AD2EB9"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Os Programas Dirigidos devem começar a a</w:t>
      </w:r>
      <w:r>
        <w:rPr>
          <w:rFonts w:ascii="Tahoma" w:hAnsi="Tahoma" w:cs="Tahoma"/>
          <w:sz w:val="24"/>
          <w:szCs w:val="24"/>
        </w:rPr>
        <w:t>presentar r</w:t>
      </w:r>
      <w:r w:rsidR="007155D7">
        <w:rPr>
          <w:rFonts w:ascii="Tahoma" w:hAnsi="Tahoma" w:cs="Tahoma"/>
          <w:sz w:val="24"/>
          <w:szCs w:val="24"/>
        </w:rPr>
        <w:t xml:space="preserve">esultados ao </w:t>
      </w:r>
      <w:r w:rsidRPr="00AD2EB9">
        <w:rPr>
          <w:rFonts w:ascii="Tahoma" w:hAnsi="Tahoma" w:cs="Tahoma"/>
          <w:sz w:val="24"/>
          <w:szCs w:val="24"/>
        </w:rPr>
        <w:t xml:space="preserve"> fim de um ano.</w:t>
      </w:r>
    </w:p>
    <w:p w:rsidR="00C865BB" w:rsidRPr="003D0040" w:rsidRDefault="00C865BB" w:rsidP="003D0040">
      <w:pPr>
        <w:pStyle w:val="PargrafodaLista"/>
        <w:numPr>
          <w:ilvl w:val="0"/>
          <w:numId w:val="21"/>
        </w:numPr>
        <w:spacing w:after="24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É tarefa de alta prioridade do Executivo o desenho e a estruturação dos Programas Dirigidos.</w:t>
      </w:r>
    </w:p>
    <w:p w:rsidR="00C865BB" w:rsidRPr="00AD2EB9" w:rsidRDefault="00C865BB" w:rsidP="00C865BB">
      <w:pPr>
        <w:pStyle w:val="PargrafodaLista"/>
        <w:numPr>
          <w:ilvl w:val="0"/>
          <w:numId w:val="4"/>
        </w:numPr>
        <w:spacing w:after="120" w:line="480" w:lineRule="auto"/>
        <w:ind w:left="142" w:hanging="142"/>
        <w:outlineLvl w:val="1"/>
        <w:rPr>
          <w:rFonts w:ascii="Tahoma" w:eastAsiaTheme="minorEastAsia" w:hAnsi="Tahoma" w:cs="Tahoma"/>
          <w:b/>
          <w:sz w:val="28"/>
          <w:szCs w:val="28"/>
          <w:lang w:eastAsia="ja-JP"/>
        </w:rPr>
      </w:pPr>
      <w:bookmarkStart w:id="20" w:name="_Toc440657384"/>
      <w:r w:rsidRPr="00AD2EB9">
        <w:rPr>
          <w:rFonts w:ascii="Tahoma" w:eastAsiaTheme="minorEastAsia" w:hAnsi="Tahoma" w:cs="Tahoma"/>
          <w:b/>
          <w:sz w:val="28"/>
          <w:szCs w:val="28"/>
          <w:lang w:eastAsia="ja-JP"/>
        </w:rPr>
        <w:t>Promoção de Exportações a Curto Prazo</w:t>
      </w:r>
      <w:bookmarkEnd w:id="20"/>
    </w:p>
    <w:p w:rsidR="00C865BB" w:rsidRPr="00AC480D"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lang w:eastAsia="ja-JP"/>
        </w:rPr>
      </w:pPr>
      <w:r>
        <w:rPr>
          <w:rFonts w:ascii="Tahoma" w:hAnsi="Tahoma" w:cs="Tahoma"/>
          <w:sz w:val="24"/>
          <w:szCs w:val="24"/>
          <w:lang w:eastAsia="ja-JP"/>
        </w:rPr>
        <w:t>O aumento das exportações não petrolíferas constitui uma  via com potencial para , a curto prazo,   elevar as  receitas em divisas do país e  diminuir, por conseguinte,  a grande dependência do país dos recursos do petróleo.</w:t>
      </w:r>
    </w:p>
    <w:p w:rsidR="00C865BB" w:rsidRPr="00AC480D"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lang w:eastAsia="ja-JP"/>
        </w:rPr>
      </w:pPr>
      <w:r>
        <w:rPr>
          <w:rFonts w:ascii="Tahoma" w:hAnsi="Tahoma" w:cs="Tahoma"/>
          <w:sz w:val="24"/>
          <w:szCs w:val="24"/>
          <w:lang w:eastAsia="ja-JP"/>
        </w:rPr>
        <w:t>Alguns produtos fora do sector petrolífero têm sido exportados, mas muitos deles fora do circuito formal e oficial, de tal modo que o Estado não controla os resultados financeiros de tais operações. Trata-se de uma situação que é preciso mudar de modo rápido e efectivo.</w:t>
      </w:r>
      <w:r w:rsidRPr="00AD2EB9">
        <w:rPr>
          <w:rFonts w:ascii="Tahoma" w:hAnsi="Tahoma" w:cs="Tahoma"/>
          <w:sz w:val="24"/>
          <w:szCs w:val="24"/>
          <w:lang w:eastAsia="ja-JP"/>
        </w:rPr>
        <w:t xml:space="preserve"> </w:t>
      </w:r>
    </w:p>
    <w:p w:rsidR="00C865BB" w:rsidRPr="00AD2EB9" w:rsidRDefault="00C865BB" w:rsidP="00C865BB">
      <w:pPr>
        <w:pStyle w:val="PargrafodaLista"/>
        <w:spacing w:after="120" w:line="240" w:lineRule="auto"/>
        <w:ind w:left="142" w:right="-488" w:hanging="142"/>
        <w:contextualSpacing w:val="0"/>
        <w:jc w:val="both"/>
        <w:rPr>
          <w:rFonts w:ascii="Tahoma" w:hAnsi="Tahoma" w:cs="Tahoma"/>
          <w:sz w:val="24"/>
          <w:szCs w:val="24"/>
          <w:lang w:eastAsia="ja-JP"/>
        </w:rPr>
      </w:pPr>
    </w:p>
    <w:p w:rsidR="00C865BB" w:rsidRPr="00C967A3" w:rsidRDefault="00C865BB" w:rsidP="00C865BB">
      <w:pPr>
        <w:pStyle w:val="PargrafodaLista"/>
        <w:numPr>
          <w:ilvl w:val="1"/>
          <w:numId w:val="5"/>
        </w:numPr>
        <w:spacing w:after="120" w:line="480" w:lineRule="auto"/>
        <w:ind w:left="142" w:hanging="142"/>
        <w:outlineLvl w:val="1"/>
        <w:rPr>
          <w:rFonts w:ascii="Tahoma" w:eastAsia="Trebuchet MS" w:hAnsi="Tahoma" w:cs="Tahoma"/>
          <w:b/>
          <w:sz w:val="28"/>
          <w:szCs w:val="32"/>
          <w:lang w:eastAsia="ja-JP"/>
        </w:rPr>
      </w:pPr>
      <w:bookmarkStart w:id="21" w:name="_Toc440657385"/>
      <w:r w:rsidRPr="00C967A3">
        <w:rPr>
          <w:rFonts w:ascii="Tahoma" w:eastAsia="Trebuchet MS" w:hAnsi="Tahoma" w:cs="Tahoma"/>
          <w:b/>
          <w:sz w:val="28"/>
          <w:szCs w:val="32"/>
          <w:lang w:eastAsia="ja-JP"/>
        </w:rPr>
        <w:t>Identificação de Produtos Exportáveis a Curto Prazo</w:t>
      </w:r>
      <w:bookmarkEnd w:id="21"/>
    </w:p>
    <w:p w:rsidR="00C865BB" w:rsidRPr="00AD2EB9"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lang w:eastAsia="ja-JP"/>
        </w:rPr>
      </w:pPr>
      <w:r>
        <w:rPr>
          <w:rFonts w:ascii="Tahoma" w:hAnsi="Tahoma" w:cs="Tahoma"/>
          <w:sz w:val="24"/>
          <w:szCs w:val="24"/>
        </w:rPr>
        <w:t>Presentemente</w:t>
      </w:r>
      <w:r w:rsidRPr="00AD2EB9">
        <w:rPr>
          <w:rFonts w:ascii="Tahoma" w:hAnsi="Tahoma" w:cs="Tahoma"/>
          <w:sz w:val="24"/>
          <w:szCs w:val="24"/>
        </w:rPr>
        <w:t xml:space="preserve"> o País tem potencial para exportar os seguintes produtos:  </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AD2EB9">
        <w:rPr>
          <w:rFonts w:ascii="Tahoma" w:hAnsi="Tahoma" w:cs="Tahoma"/>
          <w:sz w:val="24"/>
          <w:szCs w:val="24"/>
        </w:rPr>
        <w:t>Rochas ornamentais;</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Cimento e outros materiais de construção;</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Café;</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Mel;</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Produtos da pesca (peixe, marisco e crustáceos) e derivados (farinha e óleo de peixe);</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Madeiras;</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Minério de ferro;</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Bebidas alcoólicas e não alcoólicas;</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Leguminosas oleaginosas;</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Hortícolas e tubérculos;</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Sal Iodizado;</w:t>
      </w:r>
    </w:p>
    <w:p w:rsidR="00C865BB" w:rsidRDefault="00C865BB" w:rsidP="007155D7">
      <w:pPr>
        <w:pStyle w:val="PargrafodaLista"/>
        <w:numPr>
          <w:ilvl w:val="0"/>
          <w:numId w:val="26"/>
        </w:numPr>
        <w:spacing w:after="0" w:line="276" w:lineRule="auto"/>
        <w:jc w:val="both"/>
        <w:rPr>
          <w:rFonts w:ascii="Tahoma" w:hAnsi="Tahoma" w:cs="Tahoma"/>
          <w:sz w:val="24"/>
          <w:szCs w:val="24"/>
        </w:rPr>
      </w:pPr>
      <w:r w:rsidRPr="007155D7">
        <w:rPr>
          <w:rFonts w:ascii="Tahoma" w:hAnsi="Tahoma" w:cs="Tahoma"/>
          <w:sz w:val="24"/>
          <w:szCs w:val="24"/>
        </w:rPr>
        <w:t>Serviços (transportes e telecomunicações).</w:t>
      </w:r>
    </w:p>
    <w:p w:rsidR="007155D7" w:rsidRPr="007155D7" w:rsidRDefault="007155D7" w:rsidP="007155D7">
      <w:pPr>
        <w:pStyle w:val="PargrafodaLista"/>
        <w:spacing w:after="0" w:line="276" w:lineRule="auto"/>
        <w:ind w:left="2136"/>
        <w:jc w:val="both"/>
        <w:rPr>
          <w:rFonts w:ascii="Tahoma" w:hAnsi="Tahoma" w:cs="Tahoma"/>
          <w:sz w:val="24"/>
          <w:szCs w:val="24"/>
        </w:rPr>
      </w:pPr>
    </w:p>
    <w:p w:rsidR="00C865BB" w:rsidRPr="00BE109A" w:rsidRDefault="00C865BB" w:rsidP="00C865BB">
      <w:pPr>
        <w:spacing w:after="240" w:line="276" w:lineRule="auto"/>
        <w:ind w:left="142" w:hanging="142"/>
        <w:jc w:val="both"/>
        <w:rPr>
          <w:rFonts w:ascii="Tahoma" w:hAnsi="Tahoma" w:cs="Tahoma"/>
          <w:sz w:val="24"/>
          <w:szCs w:val="24"/>
        </w:rPr>
      </w:pPr>
      <w:r>
        <w:rPr>
          <w:rFonts w:ascii="Tahoma" w:hAnsi="Tahoma" w:cs="Tahoma"/>
          <w:sz w:val="24"/>
          <w:szCs w:val="24"/>
        </w:rPr>
        <w:t>Este assunto será desenvolvido no ponto 6.5 do presente documento.</w:t>
      </w:r>
    </w:p>
    <w:p w:rsidR="00C865BB" w:rsidRPr="003D0040" w:rsidRDefault="00C865BB" w:rsidP="003D0040">
      <w:pPr>
        <w:pStyle w:val="PargrafodaLista"/>
        <w:numPr>
          <w:ilvl w:val="0"/>
          <w:numId w:val="4"/>
        </w:numPr>
        <w:spacing w:after="120" w:line="480" w:lineRule="auto"/>
        <w:ind w:left="142" w:hanging="142"/>
        <w:outlineLvl w:val="1"/>
        <w:rPr>
          <w:rFonts w:ascii="Tahoma" w:eastAsiaTheme="minorEastAsia" w:hAnsi="Tahoma" w:cs="Tahoma"/>
          <w:b/>
          <w:sz w:val="28"/>
          <w:szCs w:val="28"/>
          <w:lang w:eastAsia="ja-JP"/>
        </w:rPr>
      </w:pPr>
      <w:bookmarkStart w:id="22" w:name="_Toc440657386"/>
      <w:r w:rsidRPr="00AD2EB9">
        <w:rPr>
          <w:rFonts w:ascii="Tahoma" w:eastAsiaTheme="minorEastAsia" w:hAnsi="Tahoma" w:cs="Tahoma"/>
          <w:b/>
          <w:sz w:val="28"/>
          <w:szCs w:val="28"/>
          <w:lang w:eastAsia="ja-JP"/>
        </w:rPr>
        <w:t>Programação do Pagamento da Dívida Pública</w:t>
      </w:r>
      <w:bookmarkEnd w:id="22"/>
    </w:p>
    <w:p w:rsidR="00C865BB" w:rsidRPr="00B96ED3" w:rsidRDefault="00C865BB" w:rsidP="007155D7">
      <w:pPr>
        <w:pStyle w:val="PargrafodaLista"/>
        <w:numPr>
          <w:ilvl w:val="0"/>
          <w:numId w:val="21"/>
        </w:numPr>
        <w:spacing w:after="360" w:line="240" w:lineRule="auto"/>
        <w:ind w:left="142" w:right="-488" w:hanging="142"/>
        <w:contextualSpacing w:val="0"/>
        <w:jc w:val="both"/>
        <w:rPr>
          <w:rFonts w:ascii="Tahoma" w:hAnsi="Tahoma" w:cs="Tahoma"/>
          <w:sz w:val="24"/>
          <w:szCs w:val="24"/>
        </w:rPr>
      </w:pPr>
      <w:r w:rsidRPr="00B96ED3">
        <w:rPr>
          <w:rFonts w:ascii="Tahoma" w:hAnsi="Tahoma" w:cs="Tahoma"/>
          <w:iCs/>
          <w:sz w:val="24"/>
          <w:szCs w:val="24"/>
        </w:rPr>
        <w:t xml:space="preserve">Nos últimos anos o Executivo vem </w:t>
      </w:r>
      <w:r>
        <w:rPr>
          <w:rFonts w:ascii="Tahoma" w:hAnsi="Tahoma" w:cs="Tahoma"/>
          <w:iCs/>
          <w:sz w:val="24"/>
          <w:szCs w:val="24"/>
        </w:rPr>
        <w:t xml:space="preserve">aumentando </w:t>
      </w:r>
      <w:r w:rsidRPr="00B96ED3">
        <w:rPr>
          <w:rFonts w:ascii="Tahoma" w:hAnsi="Tahoma" w:cs="Tahoma"/>
          <w:iCs/>
          <w:sz w:val="24"/>
          <w:szCs w:val="24"/>
        </w:rPr>
        <w:t xml:space="preserve"> significativamente a mobilização de recursos externos para atender as necessidade</w:t>
      </w:r>
      <w:r>
        <w:rPr>
          <w:rFonts w:ascii="Tahoma" w:hAnsi="Tahoma" w:cs="Tahoma"/>
          <w:iCs/>
          <w:sz w:val="24"/>
          <w:szCs w:val="24"/>
        </w:rPr>
        <w:t>s</w:t>
      </w:r>
      <w:r w:rsidRPr="00B96ED3">
        <w:rPr>
          <w:rFonts w:ascii="Tahoma" w:hAnsi="Tahoma" w:cs="Tahoma"/>
          <w:iCs/>
          <w:sz w:val="24"/>
          <w:szCs w:val="24"/>
        </w:rPr>
        <w:t xml:space="preserve"> da carteira de investimentos públicos, incorporando um potencial de crédito a exportação com os bancos comerciais.</w:t>
      </w:r>
    </w:p>
    <w:p w:rsidR="00C865BB" w:rsidRPr="0003051C" w:rsidRDefault="00C865BB" w:rsidP="007155D7">
      <w:pPr>
        <w:pStyle w:val="PargrafodaLista"/>
        <w:numPr>
          <w:ilvl w:val="0"/>
          <w:numId w:val="21"/>
        </w:numPr>
        <w:spacing w:after="360" w:line="240" w:lineRule="auto"/>
        <w:ind w:left="142" w:right="-488" w:hanging="142"/>
        <w:contextualSpacing w:val="0"/>
        <w:jc w:val="both"/>
        <w:rPr>
          <w:rFonts w:ascii="Tahoma" w:hAnsi="Tahoma" w:cs="Tahoma"/>
          <w:sz w:val="24"/>
          <w:szCs w:val="24"/>
          <w:highlight w:val="yellow"/>
        </w:rPr>
      </w:pPr>
      <w:r w:rsidRPr="00B96ED3">
        <w:rPr>
          <w:rFonts w:ascii="Tahoma" w:hAnsi="Tahoma" w:cs="Tahoma"/>
          <w:sz w:val="24"/>
          <w:szCs w:val="24"/>
        </w:rPr>
        <w:t>As proje</w:t>
      </w:r>
      <w:r>
        <w:rPr>
          <w:rFonts w:ascii="Tahoma" w:hAnsi="Tahoma" w:cs="Tahoma"/>
          <w:sz w:val="24"/>
          <w:szCs w:val="24"/>
        </w:rPr>
        <w:t>c</w:t>
      </w:r>
      <w:r w:rsidRPr="00B96ED3">
        <w:rPr>
          <w:rFonts w:ascii="Tahoma" w:hAnsi="Tahoma" w:cs="Tahoma"/>
          <w:sz w:val="24"/>
          <w:szCs w:val="24"/>
        </w:rPr>
        <w:t xml:space="preserve">ções do Serviço total da Dívida externa (Amortização, Juros e Comissões) para 2016 e 2017, estão em USD 3,32mil milhões e USD 2,91 mil milhões, respectivamente. </w:t>
      </w:r>
    </w:p>
    <w:p w:rsidR="00C865BB" w:rsidRDefault="00C865BB" w:rsidP="007155D7">
      <w:pPr>
        <w:pStyle w:val="PargrafodaLista"/>
        <w:numPr>
          <w:ilvl w:val="0"/>
          <w:numId w:val="21"/>
        </w:numPr>
        <w:spacing w:after="120" w:line="240" w:lineRule="auto"/>
        <w:ind w:left="142" w:right="-488" w:hanging="142"/>
        <w:contextualSpacing w:val="0"/>
        <w:jc w:val="both"/>
        <w:rPr>
          <w:rFonts w:ascii="Tahoma" w:hAnsi="Tahoma" w:cs="Tahoma"/>
          <w:iCs/>
          <w:sz w:val="24"/>
          <w:szCs w:val="24"/>
        </w:rPr>
      </w:pPr>
      <w:r w:rsidRPr="00B96ED3">
        <w:rPr>
          <w:rFonts w:ascii="Tahoma" w:hAnsi="Tahoma" w:cs="Tahoma"/>
          <w:iCs/>
          <w:sz w:val="24"/>
          <w:szCs w:val="24"/>
        </w:rPr>
        <w:t xml:space="preserve">O exercício de sensibilidade </w:t>
      </w:r>
      <w:r>
        <w:rPr>
          <w:rFonts w:ascii="Tahoma" w:hAnsi="Tahoma" w:cs="Tahoma"/>
          <w:iCs/>
          <w:sz w:val="24"/>
          <w:szCs w:val="24"/>
        </w:rPr>
        <w:t xml:space="preserve">da dívida existente </w:t>
      </w:r>
      <w:r w:rsidRPr="00B96ED3">
        <w:rPr>
          <w:rFonts w:ascii="Tahoma" w:hAnsi="Tahoma" w:cs="Tahoma"/>
          <w:iCs/>
          <w:sz w:val="24"/>
          <w:szCs w:val="24"/>
        </w:rPr>
        <w:t xml:space="preserve">indica como </w:t>
      </w:r>
      <w:r w:rsidRPr="00B96ED3">
        <w:rPr>
          <w:rFonts w:ascii="Tahoma" w:hAnsi="Tahoma" w:cs="Tahoma"/>
          <w:i/>
          <w:iCs/>
          <w:sz w:val="24"/>
          <w:szCs w:val="24"/>
        </w:rPr>
        <w:t>breack even</w:t>
      </w:r>
      <w:r w:rsidRPr="00B96ED3">
        <w:rPr>
          <w:rFonts w:ascii="Tahoma" w:hAnsi="Tahoma" w:cs="Tahoma"/>
          <w:iCs/>
          <w:sz w:val="24"/>
          <w:szCs w:val="24"/>
        </w:rPr>
        <w:t xml:space="preserve"> para o equilíb</w:t>
      </w:r>
      <w:r>
        <w:rPr>
          <w:rFonts w:ascii="Tahoma" w:hAnsi="Tahoma" w:cs="Tahoma"/>
          <w:iCs/>
          <w:sz w:val="24"/>
          <w:szCs w:val="24"/>
        </w:rPr>
        <w:t xml:space="preserve">rio mínimo do Serviço da Divida um preço do barril de petróleo de US$ 38,00. Abaixo deste preço será </w:t>
      </w:r>
      <w:r w:rsidRPr="00B96ED3">
        <w:rPr>
          <w:rFonts w:ascii="Tahoma" w:hAnsi="Tahoma" w:cs="Tahoma"/>
          <w:iCs/>
          <w:sz w:val="24"/>
          <w:szCs w:val="24"/>
        </w:rPr>
        <w:t>necessário restruturar a carteira da divida.</w:t>
      </w:r>
    </w:p>
    <w:p w:rsidR="00C865BB" w:rsidRPr="00B96ED3" w:rsidRDefault="00C865BB" w:rsidP="00C865BB">
      <w:pPr>
        <w:pStyle w:val="PargrafodaLista"/>
        <w:spacing w:after="120" w:line="240" w:lineRule="auto"/>
        <w:ind w:left="142" w:right="-488" w:hanging="142"/>
        <w:contextualSpacing w:val="0"/>
        <w:jc w:val="both"/>
        <w:rPr>
          <w:rFonts w:ascii="Tahoma" w:hAnsi="Tahoma" w:cs="Tahoma"/>
          <w:iCs/>
          <w:sz w:val="24"/>
          <w:szCs w:val="24"/>
        </w:rPr>
      </w:pPr>
    </w:p>
    <w:p w:rsidR="00C865BB" w:rsidRDefault="00C865BB" w:rsidP="00C865BB">
      <w:pPr>
        <w:pStyle w:val="PargrafodaLista"/>
        <w:numPr>
          <w:ilvl w:val="0"/>
          <w:numId w:val="4"/>
        </w:numPr>
        <w:spacing w:after="240" w:line="240" w:lineRule="auto"/>
        <w:ind w:left="142" w:hanging="142"/>
        <w:contextualSpacing w:val="0"/>
        <w:outlineLvl w:val="1"/>
        <w:rPr>
          <w:rFonts w:ascii="Tahoma" w:eastAsiaTheme="minorEastAsia" w:hAnsi="Tahoma" w:cs="Tahoma"/>
          <w:b/>
          <w:sz w:val="28"/>
          <w:szCs w:val="28"/>
          <w:lang w:eastAsia="ja-JP"/>
        </w:rPr>
      </w:pPr>
      <w:bookmarkStart w:id="23" w:name="_Toc440657387"/>
      <w:r w:rsidRPr="00AD2EB9">
        <w:rPr>
          <w:rFonts w:ascii="Tahoma" w:eastAsiaTheme="minorEastAsia" w:hAnsi="Tahoma" w:cs="Tahoma"/>
          <w:b/>
          <w:sz w:val="28"/>
          <w:szCs w:val="28"/>
          <w:lang w:eastAsia="ja-JP"/>
        </w:rPr>
        <w:t>Novo Ciclo Económico de Estabilidade não Dependente do Petróleo</w:t>
      </w:r>
      <w:bookmarkEnd w:id="23"/>
    </w:p>
    <w:p w:rsidR="00C865BB" w:rsidRPr="00BE109A"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A crise actual não é comparável a de 2009 que foi de curta duração por ter sido de natureza conjuntural. A presente crise parece ser mais de ordem estrutural, já que mesmo que se venha a verificar alguma recuperação, é pouco provável que o preço desta matéria prima venha a atingir os níveis de 2012/2013.</w:t>
      </w:r>
    </w:p>
    <w:p w:rsidR="00C865BB" w:rsidRPr="004E3FD5" w:rsidRDefault="00C865BB" w:rsidP="007155D7">
      <w:pPr>
        <w:pStyle w:val="PargrafodaLista"/>
        <w:numPr>
          <w:ilvl w:val="0"/>
          <w:numId w:val="21"/>
        </w:numPr>
        <w:spacing w:after="120" w:line="240" w:lineRule="auto"/>
        <w:ind w:left="142" w:right="-488" w:hanging="142"/>
        <w:contextualSpacing w:val="0"/>
        <w:jc w:val="both"/>
        <w:rPr>
          <w:rFonts w:ascii="Tahoma" w:hAnsi="Tahoma"/>
          <w:sz w:val="24"/>
          <w:szCs w:val="24"/>
        </w:rPr>
      </w:pPr>
      <w:r w:rsidRPr="00B63450">
        <w:rPr>
          <w:rFonts w:ascii="Tahoma" w:hAnsi="Tahoma" w:cs="Tahoma"/>
          <w:sz w:val="24"/>
          <w:szCs w:val="24"/>
        </w:rPr>
        <w:t>Conviver com esta</w:t>
      </w:r>
      <w:r w:rsidRPr="00AF23C6">
        <w:rPr>
          <w:rFonts w:ascii="Tahoma" w:hAnsi="Tahoma" w:cs="Tahoma"/>
          <w:sz w:val="24"/>
          <w:szCs w:val="24"/>
        </w:rPr>
        <w:t xml:space="preserve"> situação</w:t>
      </w:r>
      <w:r>
        <w:rPr>
          <w:rFonts w:ascii="Tahoma" w:hAnsi="Tahoma" w:cs="Tahoma"/>
          <w:sz w:val="24"/>
          <w:szCs w:val="24"/>
        </w:rPr>
        <w:t>,</w:t>
      </w:r>
      <w:r w:rsidRPr="00AF23C6">
        <w:rPr>
          <w:rFonts w:ascii="Tahoma" w:hAnsi="Tahoma" w:cs="Tahoma"/>
          <w:sz w:val="24"/>
          <w:szCs w:val="24"/>
        </w:rPr>
        <w:t xml:space="preserve"> só é possível através da configuração de novas modalidades de gestão da actividade financeira do Estado</w:t>
      </w:r>
      <w:r>
        <w:rPr>
          <w:rFonts w:ascii="Tahoma" w:hAnsi="Tahoma" w:cs="Tahoma"/>
          <w:sz w:val="24"/>
          <w:szCs w:val="24"/>
        </w:rPr>
        <w:t>.</w:t>
      </w:r>
    </w:p>
    <w:p w:rsidR="00C865BB" w:rsidRPr="00727804" w:rsidRDefault="00C865BB" w:rsidP="00C865BB">
      <w:pPr>
        <w:pStyle w:val="PargrafodaLista"/>
        <w:spacing w:after="120" w:line="240" w:lineRule="auto"/>
        <w:ind w:left="142" w:right="-488" w:hanging="142"/>
        <w:contextualSpacing w:val="0"/>
        <w:jc w:val="both"/>
        <w:rPr>
          <w:rFonts w:ascii="Tahoma" w:eastAsiaTheme="minorEastAsia" w:hAnsi="Tahoma" w:cs="Tahoma"/>
          <w:b/>
          <w:sz w:val="24"/>
          <w:szCs w:val="24"/>
          <w:lang w:eastAsia="ja-JP"/>
        </w:rPr>
      </w:pPr>
      <w:r>
        <w:rPr>
          <w:rFonts w:ascii="Tahoma" w:eastAsiaTheme="minorEastAsia" w:hAnsi="Tahoma" w:cs="Tahoma"/>
          <w:b/>
          <w:sz w:val="28"/>
          <w:szCs w:val="28"/>
          <w:lang w:eastAsia="ja-JP"/>
        </w:rPr>
        <w:t>6.1.  Aumento da Receita Tributária</w:t>
      </w:r>
      <w:r w:rsidRPr="00727804">
        <w:rPr>
          <w:rFonts w:ascii="Tahoma" w:eastAsiaTheme="minorEastAsia" w:hAnsi="Tahoma" w:cs="Tahoma"/>
          <w:b/>
          <w:sz w:val="28"/>
          <w:szCs w:val="28"/>
          <w:lang w:eastAsia="ja-JP"/>
        </w:rPr>
        <w:t xml:space="preserve"> Não Petrolífera</w:t>
      </w:r>
      <w:r w:rsidRPr="00727804">
        <w:rPr>
          <w:rFonts w:ascii="Tahoma" w:eastAsiaTheme="minorEastAsia" w:hAnsi="Tahoma" w:cs="Tahoma"/>
          <w:b/>
          <w:sz w:val="24"/>
          <w:szCs w:val="24"/>
          <w:lang w:eastAsia="ja-JP"/>
        </w:rPr>
        <w:t xml:space="preserve">. </w:t>
      </w:r>
    </w:p>
    <w:p w:rsidR="00C865BB" w:rsidRPr="00AD2EB9"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Com o objectivo de potenciar a receita tributária, propõe-se a retenção na fonte de impostos, no momento de execução das despesas públicas através do SIGFE, de acordo com a legislação em vigor. De acordo com a legislação fiscal em vigor, estão sujeitos à retenção na fonte:</w:t>
      </w:r>
    </w:p>
    <w:p w:rsidR="00C865BB" w:rsidRDefault="00C865BB" w:rsidP="007155D7">
      <w:pPr>
        <w:pStyle w:val="PargrafodaLista"/>
        <w:widowControl w:val="0"/>
        <w:numPr>
          <w:ilvl w:val="0"/>
          <w:numId w:val="27"/>
        </w:numPr>
        <w:spacing w:after="200" w:line="240" w:lineRule="auto"/>
        <w:jc w:val="both"/>
        <w:rPr>
          <w:rFonts w:ascii="Tahoma" w:hAnsi="Tahoma" w:cs="Tahoma"/>
          <w:iCs/>
          <w:sz w:val="24"/>
          <w:szCs w:val="24"/>
        </w:rPr>
      </w:pPr>
      <w:r w:rsidRPr="00AD2EB9">
        <w:rPr>
          <w:rFonts w:ascii="Tahoma" w:hAnsi="Tahoma" w:cs="Tahoma"/>
          <w:iCs/>
          <w:sz w:val="24"/>
          <w:szCs w:val="24"/>
        </w:rPr>
        <w:t xml:space="preserve">O Imposto Industrial, aprovado pela Lei n.º 19/14, de 22 </w:t>
      </w:r>
      <w:r>
        <w:rPr>
          <w:rFonts w:ascii="Tahoma" w:hAnsi="Tahoma" w:cs="Tahoma"/>
          <w:iCs/>
          <w:sz w:val="24"/>
          <w:szCs w:val="24"/>
        </w:rPr>
        <w:t>de</w:t>
      </w:r>
      <w:r w:rsidRPr="00AD2EB9">
        <w:rPr>
          <w:rFonts w:ascii="Tahoma" w:hAnsi="Tahoma" w:cs="Tahoma"/>
          <w:iCs/>
          <w:sz w:val="24"/>
          <w:szCs w:val="24"/>
        </w:rPr>
        <w:t xml:space="preserve"> Outubro;</w:t>
      </w:r>
    </w:p>
    <w:p w:rsidR="00C865BB" w:rsidRDefault="00C865BB" w:rsidP="007155D7">
      <w:pPr>
        <w:pStyle w:val="PargrafodaLista"/>
        <w:widowControl w:val="0"/>
        <w:numPr>
          <w:ilvl w:val="0"/>
          <w:numId w:val="27"/>
        </w:numPr>
        <w:spacing w:after="200" w:line="240" w:lineRule="auto"/>
        <w:jc w:val="both"/>
        <w:rPr>
          <w:rFonts w:ascii="Tahoma" w:hAnsi="Tahoma" w:cs="Tahoma"/>
          <w:iCs/>
          <w:sz w:val="24"/>
          <w:szCs w:val="24"/>
        </w:rPr>
      </w:pPr>
      <w:r w:rsidRPr="007155D7">
        <w:rPr>
          <w:rFonts w:ascii="Tahoma" w:hAnsi="Tahoma" w:cs="Tahoma"/>
          <w:iCs/>
          <w:sz w:val="24"/>
          <w:szCs w:val="24"/>
        </w:rPr>
        <w:t>O Imposto Predial Urbano, aprovado pela Lei n.º 18/11, de 21 de Abril;</w:t>
      </w:r>
    </w:p>
    <w:p w:rsidR="00C865BB" w:rsidRDefault="00C865BB" w:rsidP="007155D7">
      <w:pPr>
        <w:pStyle w:val="PargrafodaLista"/>
        <w:widowControl w:val="0"/>
        <w:numPr>
          <w:ilvl w:val="0"/>
          <w:numId w:val="27"/>
        </w:numPr>
        <w:spacing w:after="200" w:line="240" w:lineRule="auto"/>
        <w:jc w:val="both"/>
        <w:rPr>
          <w:rFonts w:ascii="Tahoma" w:hAnsi="Tahoma" w:cs="Tahoma"/>
          <w:iCs/>
          <w:sz w:val="24"/>
          <w:szCs w:val="24"/>
        </w:rPr>
      </w:pPr>
      <w:r w:rsidRPr="007155D7">
        <w:rPr>
          <w:rFonts w:ascii="Tahoma" w:hAnsi="Tahoma" w:cs="Tahoma"/>
          <w:iCs/>
          <w:sz w:val="24"/>
          <w:szCs w:val="24"/>
        </w:rPr>
        <w:t xml:space="preserve">O Imposto de Selo, aprovado pela Lei n.º 3/14, de 21 de Outubro; </w:t>
      </w:r>
    </w:p>
    <w:p w:rsidR="00C865BB" w:rsidRDefault="00C865BB" w:rsidP="007155D7">
      <w:pPr>
        <w:pStyle w:val="PargrafodaLista"/>
        <w:widowControl w:val="0"/>
        <w:numPr>
          <w:ilvl w:val="0"/>
          <w:numId w:val="27"/>
        </w:numPr>
        <w:spacing w:after="200" w:line="240" w:lineRule="auto"/>
        <w:jc w:val="both"/>
        <w:rPr>
          <w:rFonts w:ascii="Tahoma" w:hAnsi="Tahoma" w:cs="Tahoma"/>
          <w:iCs/>
          <w:sz w:val="24"/>
          <w:szCs w:val="24"/>
        </w:rPr>
      </w:pPr>
      <w:r w:rsidRPr="007155D7">
        <w:rPr>
          <w:rFonts w:ascii="Tahoma" w:hAnsi="Tahoma" w:cs="Tahoma"/>
          <w:iCs/>
          <w:sz w:val="24"/>
          <w:szCs w:val="24"/>
        </w:rPr>
        <w:t>O Imposto sobre os Rendimentos do Trabalho, aprovado pela Lei n.º 18/14, de 22 de Outubro;</w:t>
      </w:r>
    </w:p>
    <w:p w:rsidR="00C865BB" w:rsidRDefault="00C865BB" w:rsidP="007155D7">
      <w:pPr>
        <w:pStyle w:val="PargrafodaLista"/>
        <w:widowControl w:val="0"/>
        <w:numPr>
          <w:ilvl w:val="0"/>
          <w:numId w:val="27"/>
        </w:numPr>
        <w:spacing w:after="200" w:line="240" w:lineRule="auto"/>
        <w:jc w:val="both"/>
        <w:rPr>
          <w:rFonts w:ascii="Tahoma" w:hAnsi="Tahoma" w:cs="Tahoma"/>
          <w:iCs/>
          <w:sz w:val="24"/>
          <w:szCs w:val="24"/>
        </w:rPr>
      </w:pPr>
      <w:r w:rsidRPr="007155D7">
        <w:rPr>
          <w:rFonts w:ascii="Tahoma" w:hAnsi="Tahoma" w:cs="Tahoma"/>
          <w:iCs/>
          <w:sz w:val="24"/>
          <w:szCs w:val="24"/>
        </w:rPr>
        <w:t>O Imposto sobre a Aplicação de Capitais, aprovado pela Lei n.º 02/14, de 20 de Outubro; e,</w:t>
      </w:r>
    </w:p>
    <w:p w:rsidR="00C865BB" w:rsidRPr="007155D7" w:rsidRDefault="00C865BB" w:rsidP="007155D7">
      <w:pPr>
        <w:pStyle w:val="PargrafodaLista"/>
        <w:widowControl w:val="0"/>
        <w:numPr>
          <w:ilvl w:val="0"/>
          <w:numId w:val="27"/>
        </w:numPr>
        <w:spacing w:after="200" w:line="240" w:lineRule="auto"/>
        <w:jc w:val="both"/>
        <w:rPr>
          <w:rFonts w:ascii="Tahoma" w:hAnsi="Tahoma" w:cs="Tahoma"/>
          <w:iCs/>
          <w:sz w:val="24"/>
          <w:szCs w:val="24"/>
        </w:rPr>
      </w:pPr>
      <w:r w:rsidRPr="007155D7">
        <w:rPr>
          <w:rFonts w:ascii="Tahoma" w:hAnsi="Tahoma" w:cs="Tahoma"/>
          <w:iCs/>
          <w:sz w:val="24"/>
          <w:szCs w:val="24"/>
        </w:rPr>
        <w:t>O Imposto de Consumo, aprovado pelo Decreto Legislativo Presidencial n.º 3-A/14, de 21 de Outubro.</w:t>
      </w:r>
    </w:p>
    <w:p w:rsidR="00C865BB" w:rsidRPr="00AD2EB9" w:rsidRDefault="00C865BB" w:rsidP="00C865BB">
      <w:pPr>
        <w:pStyle w:val="PargrafodaLista"/>
        <w:widowControl w:val="0"/>
        <w:spacing w:after="200" w:line="240" w:lineRule="auto"/>
        <w:ind w:left="142" w:hanging="142"/>
        <w:jc w:val="both"/>
        <w:rPr>
          <w:rFonts w:ascii="Tahoma" w:hAnsi="Tahoma" w:cs="Tahoma"/>
          <w:iCs/>
          <w:sz w:val="24"/>
          <w:szCs w:val="24"/>
        </w:rPr>
      </w:pPr>
    </w:p>
    <w:p w:rsidR="00C865BB" w:rsidRPr="00AD2EB9"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I</w:t>
      </w:r>
      <w:r w:rsidRPr="00AD2EB9">
        <w:rPr>
          <w:rFonts w:ascii="Tahoma" w:hAnsi="Tahoma" w:cs="Tahoma"/>
          <w:sz w:val="24"/>
          <w:szCs w:val="24"/>
        </w:rPr>
        <w:t xml:space="preserve">nserção </w:t>
      </w:r>
      <w:r>
        <w:rPr>
          <w:rFonts w:ascii="Tahoma" w:hAnsi="Tahoma" w:cs="Tahoma"/>
          <w:sz w:val="24"/>
          <w:szCs w:val="24"/>
        </w:rPr>
        <w:t xml:space="preserve">da Lei nº 14/15, Lei do Investimento Privado e da Lei nº 30/11, Lei das Micro, Pequenas e Médias empresas </w:t>
      </w:r>
      <w:r w:rsidRPr="00AD2EB9">
        <w:rPr>
          <w:rFonts w:ascii="Tahoma" w:hAnsi="Tahoma" w:cs="Tahoma"/>
          <w:sz w:val="24"/>
          <w:szCs w:val="24"/>
        </w:rPr>
        <w:t xml:space="preserve"> no SIGFE, com a finalidade de controlar as retenções a serem efectuadas aos contribuintes que beneficiem de isenções nos termos </w:t>
      </w:r>
      <w:r w:rsidRPr="00AD2EB9">
        <w:rPr>
          <w:rFonts w:ascii="Tahoma" w:hAnsi="Tahoma" w:cs="Tahoma"/>
          <w:sz w:val="24"/>
          <w:szCs w:val="24"/>
        </w:rPr>
        <w:lastRenderedPageBreak/>
        <w:t>desta legislação, tendo em conta as zonas de desenvolvimento definidas pelo artigo 35.º da Lei n.º 14/15</w:t>
      </w:r>
      <w:r>
        <w:rPr>
          <w:rFonts w:ascii="Tahoma" w:hAnsi="Tahoma" w:cs="Tahoma"/>
          <w:sz w:val="24"/>
          <w:szCs w:val="24"/>
        </w:rPr>
        <w:t>.</w:t>
      </w:r>
      <w:r w:rsidRPr="00AD2EB9">
        <w:rPr>
          <w:rFonts w:ascii="Tahoma" w:hAnsi="Tahoma" w:cs="Tahoma"/>
          <w:sz w:val="24"/>
          <w:szCs w:val="24"/>
        </w:rPr>
        <w:t xml:space="preserve"> </w:t>
      </w:r>
    </w:p>
    <w:p w:rsidR="00C865BB" w:rsidRPr="00AD2EB9"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O</w:t>
      </w:r>
      <w:r w:rsidRPr="00AD2EB9">
        <w:rPr>
          <w:rFonts w:ascii="Tahoma" w:hAnsi="Tahoma" w:cs="Tahoma"/>
          <w:sz w:val="24"/>
          <w:szCs w:val="24"/>
        </w:rPr>
        <w:t xml:space="preserve"> </w:t>
      </w:r>
      <w:r>
        <w:rPr>
          <w:rFonts w:ascii="Tahoma" w:hAnsi="Tahoma" w:cs="Tahoma"/>
          <w:sz w:val="24"/>
          <w:szCs w:val="24"/>
        </w:rPr>
        <w:t xml:space="preserve">Programa de Potenciação da Receita tributária ( </w:t>
      </w:r>
      <w:r w:rsidRPr="00AD2EB9">
        <w:rPr>
          <w:rFonts w:ascii="Tahoma" w:hAnsi="Tahoma" w:cs="Tahoma"/>
          <w:sz w:val="24"/>
          <w:szCs w:val="24"/>
        </w:rPr>
        <w:t>PPRT</w:t>
      </w:r>
      <w:r>
        <w:rPr>
          <w:rFonts w:ascii="Tahoma" w:hAnsi="Tahoma" w:cs="Tahoma"/>
          <w:sz w:val="24"/>
          <w:szCs w:val="24"/>
        </w:rPr>
        <w:t xml:space="preserve">) para o ano de </w:t>
      </w:r>
      <w:r w:rsidRPr="00AD2EB9">
        <w:rPr>
          <w:rFonts w:ascii="Tahoma" w:hAnsi="Tahoma" w:cs="Tahoma"/>
          <w:sz w:val="24"/>
          <w:szCs w:val="24"/>
        </w:rPr>
        <w:t xml:space="preserve"> 2016 define 25 medidas prioritárias, organizadas por 3 categorias: iniciativas de elevado valor (80% dos recursos e atenção), iniciativas estruturais (15% dos recursos e atenção), e iniciativas de visibilidade e combate à informalidade (5% dos recursos e atenção).</w:t>
      </w:r>
    </w:p>
    <w:p w:rsidR="00C865BB" w:rsidRPr="00AD2EB9" w:rsidRDefault="00C865BB" w:rsidP="00C865BB">
      <w:pPr>
        <w:pStyle w:val="Legenda"/>
        <w:spacing w:after="0"/>
        <w:ind w:left="142" w:hanging="142"/>
        <w:jc w:val="center"/>
        <w:rPr>
          <w:rFonts w:ascii="Tahoma" w:hAnsi="Tahoma" w:cs="Tahoma"/>
          <w:color w:val="auto"/>
        </w:rPr>
      </w:pPr>
      <w:r w:rsidRPr="00AD2EB9">
        <w:rPr>
          <w:rFonts w:ascii="Tahoma" w:hAnsi="Tahoma" w:cs="Tahoma"/>
        </w:rPr>
        <w:t xml:space="preserve">Quadro </w:t>
      </w:r>
      <w:r w:rsidRPr="00AD2EB9">
        <w:rPr>
          <w:rFonts w:ascii="Tahoma" w:hAnsi="Tahoma" w:cs="Tahoma"/>
        </w:rPr>
        <w:fldChar w:fldCharType="begin"/>
      </w:r>
      <w:r w:rsidRPr="00AD2EB9">
        <w:rPr>
          <w:rFonts w:ascii="Tahoma" w:hAnsi="Tahoma" w:cs="Tahoma"/>
        </w:rPr>
        <w:instrText xml:space="preserve"> SEQ Quadro \* ARABIC </w:instrText>
      </w:r>
      <w:r w:rsidRPr="00AD2EB9">
        <w:rPr>
          <w:rFonts w:ascii="Tahoma" w:hAnsi="Tahoma" w:cs="Tahoma"/>
        </w:rPr>
        <w:fldChar w:fldCharType="separate"/>
      </w:r>
      <w:r>
        <w:rPr>
          <w:rFonts w:ascii="Tahoma" w:hAnsi="Tahoma" w:cs="Tahoma"/>
          <w:noProof/>
        </w:rPr>
        <w:t>1</w:t>
      </w:r>
      <w:r w:rsidRPr="00AD2EB9">
        <w:rPr>
          <w:rFonts w:ascii="Tahoma" w:hAnsi="Tahoma" w:cs="Tahoma"/>
        </w:rPr>
        <w:fldChar w:fldCharType="end"/>
      </w:r>
      <w:r w:rsidRPr="00AD2EB9">
        <w:rPr>
          <w:rFonts w:ascii="Tahoma" w:hAnsi="Tahoma" w:cs="Tahoma"/>
          <w:color w:val="auto"/>
        </w:rPr>
        <w:t>. Medidas e Impactos Constantes no Programa de Potenciação da Reforma Tributária 2016</w:t>
      </w:r>
    </w:p>
    <w:tbl>
      <w:tblPr>
        <w:tblW w:w="5000" w:type="pct"/>
        <w:tblCellMar>
          <w:left w:w="70" w:type="dxa"/>
          <w:right w:w="70" w:type="dxa"/>
        </w:tblCellMar>
        <w:tblLook w:val="04A0" w:firstRow="1" w:lastRow="0" w:firstColumn="1" w:lastColumn="0" w:noHBand="0" w:noVBand="1"/>
      </w:tblPr>
      <w:tblGrid>
        <w:gridCol w:w="1415"/>
        <w:gridCol w:w="315"/>
        <w:gridCol w:w="5965"/>
        <w:gridCol w:w="734"/>
        <w:gridCol w:w="775"/>
      </w:tblGrid>
      <w:tr w:rsidR="00C865BB" w:rsidRPr="00AD2EB9" w:rsidTr="00B51751">
        <w:trPr>
          <w:trHeight w:val="482"/>
          <w:tblHeader/>
        </w:trPr>
        <w:tc>
          <w:tcPr>
            <w:tcW w:w="898" w:type="pct"/>
            <w:vMerge w:val="restart"/>
            <w:tcBorders>
              <w:top w:val="single" w:sz="4" w:space="0" w:color="2F75B5"/>
              <w:left w:val="single" w:sz="4" w:space="0" w:color="2F75B5"/>
              <w:bottom w:val="single" w:sz="4" w:space="0" w:color="2F75B5"/>
              <w:right w:val="single" w:sz="4" w:space="0" w:color="FFFFFF"/>
            </w:tcBorders>
            <w:shd w:val="clear" w:color="000000" w:fill="5B9BD5"/>
            <w:noWrap/>
            <w:vAlign w:val="center"/>
            <w:hideMark/>
          </w:tcPr>
          <w:p w:rsidR="00C865BB" w:rsidRPr="00AD2EB9" w:rsidRDefault="00C865BB" w:rsidP="00C865BB">
            <w:pPr>
              <w:spacing w:after="0" w:line="240" w:lineRule="auto"/>
              <w:ind w:left="142" w:hanging="142"/>
              <w:jc w:val="center"/>
              <w:rPr>
                <w:rFonts w:ascii="Tahoma" w:eastAsia="Times New Roman" w:hAnsi="Tahoma" w:cs="Tahoma"/>
                <w:b/>
                <w:bCs/>
                <w:color w:val="FFFFFF"/>
                <w:sz w:val="16"/>
                <w:szCs w:val="16"/>
                <w:lang w:eastAsia="pt-PT"/>
              </w:rPr>
            </w:pPr>
            <w:r w:rsidRPr="00AD2EB9">
              <w:rPr>
                <w:rFonts w:ascii="Tahoma" w:eastAsia="Times New Roman" w:hAnsi="Tahoma" w:cs="Tahoma"/>
                <w:b/>
                <w:bCs/>
                <w:color w:val="FFFFFF"/>
                <w:sz w:val="16"/>
                <w:szCs w:val="16"/>
                <w:lang w:eastAsia="pt-PT"/>
              </w:rPr>
              <w:t>Bloco</w:t>
            </w:r>
          </w:p>
        </w:tc>
        <w:tc>
          <w:tcPr>
            <w:tcW w:w="3281" w:type="pct"/>
            <w:gridSpan w:val="2"/>
            <w:vMerge w:val="restart"/>
            <w:tcBorders>
              <w:top w:val="single" w:sz="4" w:space="0" w:color="2F75B5"/>
              <w:left w:val="single" w:sz="4" w:space="0" w:color="FFFFFF"/>
              <w:bottom w:val="single" w:sz="4" w:space="0" w:color="2F75B5"/>
              <w:right w:val="single" w:sz="4" w:space="0" w:color="FFFFFF"/>
            </w:tcBorders>
            <w:shd w:val="clear" w:color="000000" w:fill="5B9BD5"/>
            <w:noWrap/>
            <w:vAlign w:val="center"/>
            <w:hideMark/>
          </w:tcPr>
          <w:p w:rsidR="00C865BB" w:rsidRPr="00AD2EB9" w:rsidRDefault="00C865BB" w:rsidP="00C865BB">
            <w:pPr>
              <w:spacing w:after="0" w:line="240" w:lineRule="auto"/>
              <w:ind w:left="142" w:hanging="142"/>
              <w:jc w:val="center"/>
              <w:rPr>
                <w:rFonts w:ascii="Tahoma" w:eastAsia="Times New Roman" w:hAnsi="Tahoma" w:cs="Tahoma"/>
                <w:b/>
                <w:bCs/>
                <w:color w:val="FFFFFF"/>
                <w:sz w:val="16"/>
                <w:szCs w:val="16"/>
                <w:lang w:eastAsia="pt-PT"/>
              </w:rPr>
            </w:pPr>
            <w:r w:rsidRPr="00AD2EB9">
              <w:rPr>
                <w:rFonts w:ascii="Tahoma" w:eastAsia="Times New Roman" w:hAnsi="Tahoma" w:cs="Tahoma"/>
                <w:b/>
                <w:bCs/>
                <w:color w:val="FFFFFF"/>
                <w:sz w:val="16"/>
                <w:szCs w:val="16"/>
                <w:lang w:eastAsia="pt-PT"/>
              </w:rPr>
              <w:t>Medidas</w:t>
            </w:r>
          </w:p>
        </w:tc>
        <w:tc>
          <w:tcPr>
            <w:tcW w:w="821" w:type="pct"/>
            <w:gridSpan w:val="2"/>
            <w:tcBorders>
              <w:top w:val="single" w:sz="4" w:space="0" w:color="2F75B5"/>
              <w:left w:val="nil"/>
              <w:bottom w:val="single" w:sz="4" w:space="0" w:color="FFFFFF"/>
              <w:right w:val="single" w:sz="4" w:space="0" w:color="2F75B5"/>
            </w:tcBorders>
            <w:shd w:val="clear" w:color="000000" w:fill="5B9BD5"/>
            <w:vAlign w:val="center"/>
            <w:hideMark/>
          </w:tcPr>
          <w:p w:rsidR="00C865BB" w:rsidRPr="00AD2EB9" w:rsidRDefault="00C865BB" w:rsidP="00C865BB">
            <w:pPr>
              <w:spacing w:after="0" w:line="240" w:lineRule="auto"/>
              <w:ind w:left="142" w:hanging="142"/>
              <w:jc w:val="center"/>
              <w:rPr>
                <w:rFonts w:ascii="Tahoma" w:eastAsia="Times New Roman" w:hAnsi="Tahoma" w:cs="Tahoma"/>
                <w:b/>
                <w:bCs/>
                <w:color w:val="FFFFFF"/>
                <w:sz w:val="16"/>
                <w:szCs w:val="16"/>
                <w:lang w:eastAsia="pt-PT"/>
              </w:rPr>
            </w:pPr>
            <w:r w:rsidRPr="00AD2EB9">
              <w:rPr>
                <w:rFonts w:ascii="Tahoma" w:eastAsia="Times New Roman" w:hAnsi="Tahoma" w:cs="Tahoma"/>
                <w:b/>
                <w:bCs/>
                <w:color w:val="FFFFFF"/>
                <w:sz w:val="16"/>
                <w:szCs w:val="16"/>
                <w:lang w:eastAsia="pt-PT"/>
              </w:rPr>
              <w:t>Impacto esperado (mil milhões de Kz)</w:t>
            </w:r>
          </w:p>
        </w:tc>
      </w:tr>
      <w:tr w:rsidR="00C865BB" w:rsidRPr="00AD2EB9" w:rsidTr="00B51751">
        <w:trPr>
          <w:trHeight w:val="482"/>
          <w:tblHeader/>
        </w:trPr>
        <w:tc>
          <w:tcPr>
            <w:tcW w:w="898" w:type="pct"/>
            <w:vMerge/>
            <w:tcBorders>
              <w:top w:val="single" w:sz="4" w:space="0" w:color="2F75B5"/>
              <w:left w:val="single" w:sz="4" w:space="0" w:color="2F75B5"/>
              <w:bottom w:val="single" w:sz="4" w:space="0" w:color="2F75B5"/>
              <w:right w:val="single" w:sz="4" w:space="0" w:color="FFFFFF"/>
            </w:tcBorders>
            <w:vAlign w:val="center"/>
            <w:hideMark/>
          </w:tcPr>
          <w:p w:rsidR="00C865BB" w:rsidRPr="00AD2EB9" w:rsidRDefault="00C865BB" w:rsidP="00C865BB">
            <w:pPr>
              <w:spacing w:after="0" w:line="240" w:lineRule="auto"/>
              <w:ind w:left="142" w:hanging="142"/>
              <w:rPr>
                <w:rFonts w:ascii="Tahoma" w:eastAsia="Times New Roman" w:hAnsi="Tahoma" w:cs="Tahoma"/>
                <w:b/>
                <w:bCs/>
                <w:color w:val="FFFFFF"/>
                <w:sz w:val="16"/>
                <w:szCs w:val="16"/>
                <w:lang w:eastAsia="pt-PT"/>
              </w:rPr>
            </w:pPr>
          </w:p>
        </w:tc>
        <w:tc>
          <w:tcPr>
            <w:tcW w:w="3281" w:type="pct"/>
            <w:gridSpan w:val="2"/>
            <w:vMerge/>
            <w:tcBorders>
              <w:top w:val="single" w:sz="4" w:space="0" w:color="2F75B5"/>
              <w:left w:val="single" w:sz="4" w:space="0" w:color="FFFFFF"/>
              <w:bottom w:val="single" w:sz="4" w:space="0" w:color="2F75B5"/>
              <w:right w:val="single" w:sz="4" w:space="0" w:color="FFFFFF"/>
            </w:tcBorders>
            <w:vAlign w:val="center"/>
            <w:hideMark/>
          </w:tcPr>
          <w:p w:rsidR="00C865BB" w:rsidRPr="00AD2EB9" w:rsidRDefault="00C865BB" w:rsidP="00C865BB">
            <w:pPr>
              <w:spacing w:after="0" w:line="240" w:lineRule="auto"/>
              <w:ind w:left="142" w:hanging="142"/>
              <w:rPr>
                <w:rFonts w:ascii="Tahoma" w:eastAsia="Times New Roman" w:hAnsi="Tahoma" w:cs="Tahoma"/>
                <w:b/>
                <w:bCs/>
                <w:color w:val="FFFFFF"/>
                <w:sz w:val="16"/>
                <w:szCs w:val="16"/>
                <w:lang w:eastAsia="pt-PT"/>
              </w:rPr>
            </w:pPr>
          </w:p>
        </w:tc>
        <w:tc>
          <w:tcPr>
            <w:tcW w:w="401" w:type="pct"/>
            <w:tcBorders>
              <w:top w:val="nil"/>
              <w:left w:val="nil"/>
              <w:bottom w:val="single" w:sz="4" w:space="0" w:color="2F75B5"/>
              <w:right w:val="single" w:sz="4" w:space="0" w:color="FFFFFF"/>
            </w:tcBorders>
            <w:shd w:val="clear" w:color="000000" w:fill="5B9BD5"/>
            <w:noWrap/>
            <w:vAlign w:val="center"/>
            <w:hideMark/>
          </w:tcPr>
          <w:p w:rsidR="00C865BB" w:rsidRPr="00AD2EB9" w:rsidRDefault="00C865BB" w:rsidP="00C865BB">
            <w:pPr>
              <w:spacing w:after="0" w:line="240" w:lineRule="auto"/>
              <w:ind w:left="142" w:hanging="142"/>
              <w:jc w:val="center"/>
              <w:rPr>
                <w:rFonts w:ascii="Tahoma" w:eastAsia="Times New Roman" w:hAnsi="Tahoma" w:cs="Tahoma"/>
                <w:b/>
                <w:bCs/>
                <w:color w:val="FFFFFF"/>
                <w:sz w:val="16"/>
                <w:szCs w:val="16"/>
                <w:lang w:eastAsia="pt-PT"/>
              </w:rPr>
            </w:pPr>
            <w:r w:rsidRPr="00AD2EB9">
              <w:rPr>
                <w:rFonts w:ascii="Tahoma" w:eastAsia="Times New Roman" w:hAnsi="Tahoma" w:cs="Tahoma"/>
                <w:b/>
                <w:bCs/>
                <w:color w:val="FFFFFF"/>
                <w:sz w:val="16"/>
                <w:szCs w:val="16"/>
                <w:lang w:eastAsia="pt-PT"/>
              </w:rPr>
              <w:t>Mínimo</w:t>
            </w:r>
          </w:p>
        </w:tc>
        <w:tc>
          <w:tcPr>
            <w:tcW w:w="420" w:type="pct"/>
            <w:tcBorders>
              <w:top w:val="nil"/>
              <w:left w:val="nil"/>
              <w:bottom w:val="single" w:sz="4" w:space="0" w:color="2F75B5"/>
              <w:right w:val="single" w:sz="4" w:space="0" w:color="2F75B5"/>
            </w:tcBorders>
            <w:shd w:val="clear" w:color="000000" w:fill="5B9BD5"/>
            <w:vAlign w:val="center"/>
            <w:hideMark/>
          </w:tcPr>
          <w:p w:rsidR="00C865BB" w:rsidRPr="00AD2EB9" w:rsidRDefault="00C865BB" w:rsidP="00C865BB">
            <w:pPr>
              <w:spacing w:after="0" w:line="240" w:lineRule="auto"/>
              <w:ind w:left="142" w:hanging="142"/>
              <w:jc w:val="center"/>
              <w:rPr>
                <w:rFonts w:ascii="Tahoma" w:eastAsia="Times New Roman" w:hAnsi="Tahoma" w:cs="Tahoma"/>
                <w:b/>
                <w:bCs/>
                <w:color w:val="FFFFFF"/>
                <w:sz w:val="16"/>
                <w:szCs w:val="16"/>
                <w:lang w:eastAsia="pt-PT"/>
              </w:rPr>
            </w:pPr>
            <w:r w:rsidRPr="00AD2EB9">
              <w:rPr>
                <w:rFonts w:ascii="Tahoma" w:eastAsia="Times New Roman" w:hAnsi="Tahoma" w:cs="Tahoma"/>
                <w:b/>
                <w:bCs/>
                <w:color w:val="FFFFFF"/>
                <w:sz w:val="16"/>
                <w:szCs w:val="16"/>
                <w:lang w:eastAsia="pt-PT"/>
              </w:rPr>
              <w:t>Máximo</w:t>
            </w:r>
          </w:p>
        </w:tc>
      </w:tr>
      <w:tr w:rsidR="00C865BB" w:rsidRPr="00AD2EB9" w:rsidTr="00B51751">
        <w:trPr>
          <w:trHeight w:val="482"/>
        </w:trPr>
        <w:tc>
          <w:tcPr>
            <w:tcW w:w="898" w:type="pct"/>
            <w:vMerge w:val="restart"/>
            <w:tcBorders>
              <w:top w:val="nil"/>
              <w:left w:val="single" w:sz="4" w:space="0" w:color="2F75B5"/>
              <w:bottom w:val="single" w:sz="4" w:space="0" w:color="2F75B5"/>
              <w:right w:val="single" w:sz="4" w:space="0" w:color="2F75B5"/>
            </w:tcBorders>
            <w:shd w:val="clear" w:color="000000" w:fill="DDEBF7"/>
            <w:vAlign w:val="center"/>
            <w:hideMark/>
          </w:tcPr>
          <w:p w:rsidR="00C865BB" w:rsidRPr="00AD2EB9" w:rsidRDefault="00C865BB" w:rsidP="00C865BB">
            <w:pPr>
              <w:spacing w:after="0" w:line="240" w:lineRule="auto"/>
              <w:ind w:left="142" w:hanging="142"/>
              <w:jc w:val="center"/>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Dossier dos temas petrolíferos</w:t>
            </w: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Cobrança da dívida da Sonangol Logística e Distribuidora</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1 040,00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2</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Regularização de processos petrolíferos em litígio</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390,00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3</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Regularização do saldo das contas corrente com petrolíferas</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272,00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4</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Agendamento das Comissões de Fixação e Revisão</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center"/>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A definir</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center"/>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A definir</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5</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Fiscalização dos impostos não petrolíferos das petrolíferas</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34,00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43,00</w:t>
            </w:r>
          </w:p>
        </w:tc>
      </w:tr>
      <w:tr w:rsidR="00C865BB" w:rsidRPr="00AD2EB9" w:rsidTr="00B51751">
        <w:trPr>
          <w:trHeight w:val="482"/>
        </w:trPr>
        <w:tc>
          <w:tcPr>
            <w:tcW w:w="898" w:type="pct"/>
            <w:vMerge w:val="restart"/>
            <w:tcBorders>
              <w:top w:val="nil"/>
              <w:left w:val="single" w:sz="4" w:space="0" w:color="2F75B5"/>
              <w:bottom w:val="single" w:sz="4" w:space="0" w:color="2F75B5"/>
              <w:right w:val="single" w:sz="4" w:space="0" w:color="2F75B5"/>
            </w:tcBorders>
            <w:shd w:val="clear" w:color="000000" w:fill="DDEBF7"/>
            <w:vAlign w:val="center"/>
            <w:hideMark/>
          </w:tcPr>
          <w:p w:rsidR="00C865BB" w:rsidRPr="00AD2EB9" w:rsidRDefault="00C865BB" w:rsidP="00C865BB">
            <w:pPr>
              <w:spacing w:after="0" w:line="240" w:lineRule="auto"/>
              <w:ind w:left="142" w:hanging="142"/>
              <w:jc w:val="center"/>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Dinamização da operação</w:t>
            </w: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6</w:t>
            </w:r>
          </w:p>
        </w:tc>
        <w:tc>
          <w:tcPr>
            <w:tcW w:w="3127" w:type="pct"/>
            <w:tcBorders>
              <w:top w:val="nil"/>
              <w:left w:val="nil"/>
              <w:bottom w:val="single" w:sz="4" w:space="0" w:color="2F75B5"/>
              <w:right w:val="single" w:sz="4" w:space="0" w:color="2F75B5"/>
            </w:tcBorders>
            <w:shd w:val="clear" w:color="auto" w:fill="auto"/>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Incentivos à auto-regularização (por exemplo, entrega Modelo 1, pagamentos de IRT, liquidações provisórias)</w:t>
            </w:r>
          </w:p>
        </w:tc>
        <w:tc>
          <w:tcPr>
            <w:tcW w:w="401" w:type="pct"/>
            <w:tcBorders>
              <w:top w:val="nil"/>
              <w:left w:val="nil"/>
              <w:bottom w:val="single" w:sz="4" w:space="0" w:color="2F75B5"/>
              <w:right w:val="single" w:sz="4" w:space="0" w:color="2F75B5"/>
            </w:tcBorders>
            <w:shd w:val="clear" w:color="auto" w:fill="auto"/>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13,00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27,00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7</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Fiscalização a empresas seleccionadas - Top 20</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2,00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4,00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8</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Fiscalização a empresas seleccionadas - Outras empresas</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3,00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8,00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9</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Fiscalização terceirizada (Top 30 não petrolífero)</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3,00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6,00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10</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Cobrança de divída fiscal e aduaneira</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15,00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35,00</w:t>
            </w:r>
          </w:p>
        </w:tc>
      </w:tr>
      <w:tr w:rsidR="00C865BB" w:rsidRPr="00AD2EB9" w:rsidTr="00B51751">
        <w:trPr>
          <w:trHeight w:val="482"/>
        </w:trPr>
        <w:tc>
          <w:tcPr>
            <w:tcW w:w="898" w:type="pct"/>
            <w:vMerge w:val="restart"/>
            <w:tcBorders>
              <w:top w:val="nil"/>
              <w:left w:val="single" w:sz="4" w:space="0" w:color="2F75B5"/>
              <w:bottom w:val="single" w:sz="4" w:space="0" w:color="2F75B5"/>
              <w:right w:val="single" w:sz="4" w:space="0" w:color="2F75B5"/>
            </w:tcBorders>
            <w:shd w:val="clear" w:color="000000" w:fill="DDEBF7"/>
            <w:vAlign w:val="center"/>
            <w:hideMark/>
          </w:tcPr>
          <w:p w:rsidR="00C865BB" w:rsidRPr="00AD2EB9" w:rsidRDefault="00C865BB" w:rsidP="00C865BB">
            <w:pPr>
              <w:spacing w:after="0" w:line="240" w:lineRule="auto"/>
              <w:ind w:left="142" w:hanging="142"/>
              <w:jc w:val="center"/>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xml:space="preserve">Novos mecanismos de arrecadação </w:t>
            </w: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11</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Cobrança de IAC retido junto do BNA</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0,00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12</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Cobrança de impostos retidos na fonte por entidades públicas</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4,00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13</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Arrecadação do justo valor junto de contribuintes com isenção fiscal</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0,00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14</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Penhoras de créditos comerciais, importações, bens móveis e imóveis</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4,00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9,00</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15</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Operacionalização das medidas legislativas aprovadas e pendentes de aprovação</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center"/>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A definir</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center"/>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A definir</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16</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Aceleração dos processos em contencioso aduaneiro</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1,00</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1,00</w:t>
            </w:r>
          </w:p>
        </w:tc>
      </w:tr>
      <w:tr w:rsidR="00C865BB" w:rsidRPr="00AD2EB9" w:rsidTr="00B51751">
        <w:trPr>
          <w:trHeight w:val="482"/>
        </w:trPr>
        <w:tc>
          <w:tcPr>
            <w:tcW w:w="898" w:type="pct"/>
            <w:tcBorders>
              <w:top w:val="nil"/>
              <w:left w:val="single" w:sz="4" w:space="0" w:color="2F75B5"/>
              <w:bottom w:val="single" w:sz="4" w:space="0" w:color="2F75B5"/>
              <w:right w:val="single" w:sz="4" w:space="0" w:color="FFFFFF"/>
            </w:tcBorders>
            <w:shd w:val="clear" w:color="000000" w:fill="5B9BD5"/>
            <w:noWrap/>
            <w:vAlign w:val="center"/>
            <w:hideMark/>
          </w:tcPr>
          <w:p w:rsidR="00C865BB" w:rsidRPr="00AD2EB9" w:rsidRDefault="00C865BB" w:rsidP="00C865BB">
            <w:pPr>
              <w:spacing w:after="0" w:line="240" w:lineRule="auto"/>
              <w:ind w:left="142" w:hanging="142"/>
              <w:jc w:val="center"/>
              <w:rPr>
                <w:rFonts w:ascii="Tahoma" w:eastAsia="Times New Roman" w:hAnsi="Tahoma" w:cs="Tahoma"/>
                <w:b/>
                <w:bCs/>
                <w:color w:val="FFFFFF"/>
                <w:sz w:val="16"/>
                <w:szCs w:val="16"/>
                <w:lang w:eastAsia="pt-PT"/>
              </w:rPr>
            </w:pPr>
            <w:r w:rsidRPr="00AD2EB9">
              <w:rPr>
                <w:rFonts w:ascii="Tahoma" w:eastAsia="Times New Roman" w:hAnsi="Tahoma" w:cs="Tahoma"/>
                <w:b/>
                <w:bCs/>
                <w:color w:val="FFFFFF"/>
                <w:sz w:val="16"/>
                <w:szCs w:val="16"/>
                <w:lang w:eastAsia="pt-PT"/>
              </w:rPr>
              <w:t xml:space="preserve">Categoria </w:t>
            </w:r>
          </w:p>
        </w:tc>
        <w:tc>
          <w:tcPr>
            <w:tcW w:w="154" w:type="pct"/>
            <w:tcBorders>
              <w:top w:val="nil"/>
              <w:left w:val="single" w:sz="4" w:space="0" w:color="2F75B5"/>
              <w:bottom w:val="single" w:sz="4" w:space="0" w:color="2F75B5"/>
              <w:right w:val="single" w:sz="4" w:space="0" w:color="FFFFFF"/>
            </w:tcBorders>
            <w:shd w:val="clear" w:color="000000" w:fill="5B9BD5"/>
            <w:noWrap/>
            <w:vAlign w:val="center"/>
            <w:hideMark/>
          </w:tcPr>
          <w:p w:rsidR="00C865BB" w:rsidRPr="00AD2EB9" w:rsidRDefault="00C865BB" w:rsidP="00C865BB">
            <w:pPr>
              <w:spacing w:after="0" w:line="240" w:lineRule="auto"/>
              <w:ind w:left="142" w:hanging="142"/>
              <w:jc w:val="center"/>
              <w:rPr>
                <w:rFonts w:ascii="Tahoma" w:eastAsia="Times New Roman" w:hAnsi="Tahoma" w:cs="Tahoma"/>
                <w:b/>
                <w:bCs/>
                <w:color w:val="FFFFFF"/>
                <w:sz w:val="16"/>
                <w:szCs w:val="16"/>
                <w:lang w:eastAsia="pt-PT"/>
              </w:rPr>
            </w:pPr>
            <w:r w:rsidRPr="00AD2EB9">
              <w:rPr>
                <w:rFonts w:ascii="Tahoma" w:eastAsia="Times New Roman" w:hAnsi="Tahoma" w:cs="Tahoma"/>
                <w:b/>
                <w:bCs/>
                <w:color w:val="FFFFFF"/>
                <w:sz w:val="16"/>
                <w:szCs w:val="16"/>
                <w:lang w:eastAsia="pt-PT"/>
              </w:rPr>
              <w:t> </w:t>
            </w:r>
          </w:p>
        </w:tc>
        <w:tc>
          <w:tcPr>
            <w:tcW w:w="3127" w:type="pct"/>
            <w:tcBorders>
              <w:top w:val="nil"/>
              <w:left w:val="single" w:sz="4" w:space="0" w:color="2F75B5"/>
              <w:bottom w:val="single" w:sz="4" w:space="0" w:color="2F75B5"/>
              <w:right w:val="single" w:sz="4" w:space="0" w:color="FFFFFF"/>
            </w:tcBorders>
            <w:shd w:val="clear" w:color="000000" w:fill="5B9BD5"/>
            <w:noWrap/>
            <w:vAlign w:val="center"/>
            <w:hideMark/>
          </w:tcPr>
          <w:p w:rsidR="00C865BB" w:rsidRPr="00AD2EB9" w:rsidRDefault="00C865BB" w:rsidP="00C865BB">
            <w:pPr>
              <w:spacing w:after="0" w:line="240" w:lineRule="auto"/>
              <w:ind w:left="142" w:hanging="142"/>
              <w:jc w:val="center"/>
              <w:rPr>
                <w:rFonts w:ascii="Tahoma" w:eastAsia="Times New Roman" w:hAnsi="Tahoma" w:cs="Tahoma"/>
                <w:b/>
                <w:bCs/>
                <w:color w:val="FFFFFF"/>
                <w:sz w:val="16"/>
                <w:szCs w:val="16"/>
                <w:lang w:eastAsia="pt-PT"/>
              </w:rPr>
            </w:pPr>
            <w:r w:rsidRPr="00AD2EB9">
              <w:rPr>
                <w:rFonts w:ascii="Tahoma" w:eastAsia="Times New Roman" w:hAnsi="Tahoma" w:cs="Tahoma"/>
                <w:b/>
                <w:bCs/>
                <w:color w:val="FFFFFF"/>
                <w:sz w:val="16"/>
                <w:szCs w:val="16"/>
                <w:lang w:eastAsia="pt-PT"/>
              </w:rPr>
              <w:t> </w:t>
            </w:r>
          </w:p>
        </w:tc>
        <w:tc>
          <w:tcPr>
            <w:tcW w:w="401" w:type="pct"/>
            <w:tcBorders>
              <w:top w:val="nil"/>
              <w:left w:val="single" w:sz="4" w:space="0" w:color="2F75B5"/>
              <w:bottom w:val="single" w:sz="4" w:space="0" w:color="2F75B5"/>
              <w:right w:val="nil"/>
            </w:tcBorders>
            <w:shd w:val="clear" w:color="000000" w:fill="5B9BD5"/>
            <w:noWrap/>
            <w:vAlign w:val="center"/>
            <w:hideMark/>
          </w:tcPr>
          <w:p w:rsidR="00C865BB" w:rsidRPr="00AD2EB9" w:rsidRDefault="00C865BB" w:rsidP="00C865BB">
            <w:pPr>
              <w:spacing w:after="0" w:line="240" w:lineRule="auto"/>
              <w:ind w:left="142" w:hanging="142"/>
              <w:jc w:val="center"/>
              <w:rPr>
                <w:rFonts w:ascii="Tahoma" w:eastAsia="Times New Roman" w:hAnsi="Tahoma" w:cs="Tahoma"/>
                <w:b/>
                <w:bCs/>
                <w:color w:val="FFFFFF"/>
                <w:sz w:val="16"/>
                <w:szCs w:val="16"/>
                <w:lang w:eastAsia="pt-PT"/>
              </w:rPr>
            </w:pPr>
            <w:r w:rsidRPr="00AD2EB9">
              <w:rPr>
                <w:rFonts w:ascii="Tahoma" w:eastAsia="Times New Roman" w:hAnsi="Tahoma" w:cs="Tahoma"/>
                <w:b/>
                <w:bCs/>
                <w:color w:val="FFFFFF"/>
                <w:sz w:val="16"/>
                <w:szCs w:val="16"/>
                <w:lang w:eastAsia="pt-PT"/>
              </w:rPr>
              <w:t> </w:t>
            </w:r>
          </w:p>
        </w:tc>
        <w:tc>
          <w:tcPr>
            <w:tcW w:w="420" w:type="pct"/>
            <w:tcBorders>
              <w:top w:val="nil"/>
              <w:left w:val="single" w:sz="4" w:space="0" w:color="2F75B5"/>
              <w:bottom w:val="single" w:sz="4" w:space="0" w:color="2F75B5"/>
              <w:right w:val="single" w:sz="4" w:space="0" w:color="2F75B5"/>
            </w:tcBorders>
            <w:shd w:val="clear" w:color="000000" w:fill="5B9BD5"/>
            <w:noWrap/>
            <w:vAlign w:val="center"/>
            <w:hideMark/>
          </w:tcPr>
          <w:p w:rsidR="00C865BB" w:rsidRPr="00AD2EB9" w:rsidRDefault="00C865BB" w:rsidP="00C865BB">
            <w:pPr>
              <w:spacing w:after="0" w:line="240" w:lineRule="auto"/>
              <w:ind w:left="142" w:hanging="142"/>
              <w:jc w:val="center"/>
              <w:rPr>
                <w:rFonts w:ascii="Tahoma" w:eastAsia="Times New Roman" w:hAnsi="Tahoma" w:cs="Tahoma"/>
                <w:b/>
                <w:bCs/>
                <w:color w:val="FFFFFF"/>
                <w:sz w:val="16"/>
                <w:szCs w:val="16"/>
                <w:lang w:eastAsia="pt-PT"/>
              </w:rPr>
            </w:pPr>
            <w:r w:rsidRPr="00AD2EB9">
              <w:rPr>
                <w:rFonts w:ascii="Tahoma" w:eastAsia="Times New Roman" w:hAnsi="Tahoma" w:cs="Tahoma"/>
                <w:b/>
                <w:bCs/>
                <w:color w:val="FFFFFF"/>
                <w:sz w:val="16"/>
                <w:szCs w:val="16"/>
                <w:lang w:eastAsia="pt-PT"/>
              </w:rPr>
              <w:t> </w:t>
            </w:r>
          </w:p>
        </w:tc>
      </w:tr>
      <w:tr w:rsidR="00C865BB" w:rsidRPr="00AD2EB9" w:rsidTr="00B51751">
        <w:trPr>
          <w:trHeight w:val="482"/>
        </w:trPr>
        <w:tc>
          <w:tcPr>
            <w:tcW w:w="898" w:type="pct"/>
            <w:vMerge w:val="restart"/>
            <w:tcBorders>
              <w:top w:val="nil"/>
              <w:left w:val="single" w:sz="4" w:space="0" w:color="2F75B5"/>
              <w:bottom w:val="single" w:sz="4" w:space="0" w:color="2F75B5"/>
              <w:right w:val="single" w:sz="4" w:space="0" w:color="2F75B5"/>
            </w:tcBorders>
            <w:shd w:val="clear" w:color="000000" w:fill="DDEBF7"/>
            <w:vAlign w:val="center"/>
            <w:hideMark/>
          </w:tcPr>
          <w:p w:rsidR="00C865BB" w:rsidRPr="00AD2EB9" w:rsidRDefault="00C865BB" w:rsidP="00C865BB">
            <w:pPr>
              <w:spacing w:after="0" w:line="240" w:lineRule="auto"/>
              <w:ind w:left="142" w:hanging="142"/>
              <w:jc w:val="center"/>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Estruturais</w:t>
            </w: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17</w:t>
            </w:r>
          </w:p>
        </w:tc>
        <w:tc>
          <w:tcPr>
            <w:tcW w:w="3127" w:type="pct"/>
            <w:tcBorders>
              <w:top w:val="nil"/>
              <w:left w:val="nil"/>
              <w:bottom w:val="single" w:sz="4" w:space="0" w:color="2F75B5"/>
              <w:right w:val="single" w:sz="4" w:space="0" w:color="2F75B5"/>
            </w:tcBorders>
            <w:shd w:val="clear" w:color="auto" w:fill="auto"/>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Incentivo à auto-fiscalização (por exemplo, raspadinhas, impressoras de facturas certificadas</w:t>
            </w:r>
          </w:p>
        </w:tc>
        <w:tc>
          <w:tcPr>
            <w:tcW w:w="401" w:type="pct"/>
            <w:tcBorders>
              <w:top w:val="nil"/>
              <w:left w:val="nil"/>
              <w:bottom w:val="single" w:sz="4" w:space="0" w:color="2F75B5"/>
              <w:right w:val="single" w:sz="4" w:space="0" w:color="2F75B5"/>
            </w:tcBorders>
            <w:shd w:val="clear" w:color="auto" w:fill="auto"/>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18</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Geração automática de pistas para fiscalização</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19</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Tabela de referência para notificar contribuintes faltosos do grupo A e B</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20</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Revisão da tabela de lucros mínimos em regime de IRT</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21</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xml:space="preserve">Profissionalização do </w:t>
            </w:r>
            <w:r w:rsidRPr="00AD2EB9">
              <w:rPr>
                <w:rFonts w:ascii="Tahoma" w:eastAsia="Times New Roman" w:hAnsi="Tahoma" w:cs="Tahoma"/>
                <w:i/>
                <w:iCs/>
                <w:color w:val="000000"/>
                <w:sz w:val="16"/>
                <w:szCs w:val="16"/>
                <w:lang w:eastAsia="pt-PT"/>
              </w:rPr>
              <w:t>call center</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22</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Incentivo/obrigatoriedade da comunicação electrónica (declarações e notificações)</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r>
      <w:tr w:rsidR="00C865BB" w:rsidRPr="00AD2EB9" w:rsidTr="00B51751">
        <w:trPr>
          <w:trHeight w:val="482"/>
        </w:trPr>
        <w:tc>
          <w:tcPr>
            <w:tcW w:w="898" w:type="pct"/>
            <w:vMerge w:val="restart"/>
            <w:tcBorders>
              <w:top w:val="nil"/>
              <w:left w:val="single" w:sz="4" w:space="0" w:color="2F75B5"/>
              <w:bottom w:val="single" w:sz="4" w:space="0" w:color="2F75B5"/>
              <w:right w:val="single" w:sz="4" w:space="0" w:color="2F75B5"/>
            </w:tcBorders>
            <w:shd w:val="clear" w:color="000000" w:fill="DDEBF7"/>
            <w:vAlign w:val="center"/>
            <w:hideMark/>
          </w:tcPr>
          <w:p w:rsidR="00C865BB" w:rsidRPr="00AD2EB9" w:rsidRDefault="00C865BB" w:rsidP="00C865BB">
            <w:pPr>
              <w:spacing w:after="0" w:line="240" w:lineRule="auto"/>
              <w:ind w:left="142" w:hanging="142"/>
              <w:jc w:val="center"/>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Elevada visibilidade e combate à informalidade</w:t>
            </w: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23</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Campanha de sensibilização para o pagamento de impostos</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24</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Brigadas de IPU</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r>
      <w:tr w:rsidR="00C865BB" w:rsidRPr="00AD2EB9" w:rsidTr="00B51751">
        <w:trPr>
          <w:trHeight w:val="482"/>
        </w:trPr>
        <w:tc>
          <w:tcPr>
            <w:tcW w:w="898" w:type="pct"/>
            <w:vMerge/>
            <w:tcBorders>
              <w:top w:val="nil"/>
              <w:left w:val="single" w:sz="4" w:space="0" w:color="2F75B5"/>
              <w:bottom w:val="single" w:sz="4" w:space="0" w:color="2F75B5"/>
              <w:right w:val="single" w:sz="4" w:space="0" w:color="2F75B5"/>
            </w:tcBorders>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p>
        </w:tc>
        <w:tc>
          <w:tcPr>
            <w:tcW w:w="154"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jc w:val="right"/>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25</w:t>
            </w:r>
          </w:p>
        </w:tc>
        <w:tc>
          <w:tcPr>
            <w:tcW w:w="3127"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Fiscalização a contribuintes incumpridores e a informalidade (AFECII)</w:t>
            </w:r>
          </w:p>
        </w:tc>
        <w:tc>
          <w:tcPr>
            <w:tcW w:w="401"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c>
          <w:tcPr>
            <w:tcW w:w="420" w:type="pct"/>
            <w:tcBorders>
              <w:top w:val="nil"/>
              <w:left w:val="nil"/>
              <w:bottom w:val="single" w:sz="4" w:space="0" w:color="2F75B5"/>
              <w:right w:val="single" w:sz="4" w:space="0" w:color="2F75B5"/>
            </w:tcBorders>
            <w:shd w:val="clear" w:color="auto" w:fill="auto"/>
            <w:noWrap/>
            <w:vAlign w:val="center"/>
            <w:hideMark/>
          </w:tcPr>
          <w:p w:rsidR="00C865BB" w:rsidRPr="00AD2EB9" w:rsidRDefault="00C865BB" w:rsidP="00C865BB">
            <w:pPr>
              <w:spacing w:after="0" w:line="240" w:lineRule="auto"/>
              <w:ind w:left="142" w:hanging="142"/>
              <w:rPr>
                <w:rFonts w:ascii="Tahoma" w:eastAsia="Times New Roman" w:hAnsi="Tahoma" w:cs="Tahoma"/>
                <w:color w:val="000000"/>
                <w:sz w:val="16"/>
                <w:szCs w:val="16"/>
                <w:lang w:eastAsia="pt-PT"/>
              </w:rPr>
            </w:pPr>
            <w:r w:rsidRPr="00AD2EB9">
              <w:rPr>
                <w:rFonts w:ascii="Tahoma" w:eastAsia="Times New Roman" w:hAnsi="Tahoma" w:cs="Tahoma"/>
                <w:color w:val="000000"/>
                <w:sz w:val="16"/>
                <w:szCs w:val="16"/>
                <w:lang w:eastAsia="pt-PT"/>
              </w:rPr>
              <w:t> </w:t>
            </w:r>
          </w:p>
        </w:tc>
      </w:tr>
    </w:tbl>
    <w:p w:rsidR="00C865BB" w:rsidRPr="00AD2EB9" w:rsidRDefault="00C865BB" w:rsidP="00C865BB">
      <w:pPr>
        <w:ind w:left="142" w:hanging="142"/>
        <w:rPr>
          <w:rFonts w:ascii="Tahoma" w:hAnsi="Tahoma" w:cs="Tahoma"/>
          <w:sz w:val="16"/>
          <w:szCs w:val="16"/>
        </w:rPr>
      </w:pPr>
      <w:r w:rsidRPr="00AD2EB9">
        <w:rPr>
          <w:rFonts w:ascii="Tahoma" w:hAnsi="Tahoma" w:cs="Tahoma"/>
          <w:sz w:val="16"/>
          <w:szCs w:val="16"/>
        </w:rPr>
        <w:t>Fonte: MINFIN</w:t>
      </w:r>
    </w:p>
    <w:p w:rsidR="00C865BB"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727804">
        <w:rPr>
          <w:rFonts w:ascii="Tahoma" w:hAnsi="Tahoma" w:cs="Tahoma"/>
          <w:sz w:val="24"/>
          <w:szCs w:val="24"/>
        </w:rPr>
        <w:t xml:space="preserve">Focando exclusivamente nestas medidas, estima-se um impacto na receita de Kz 75 </w:t>
      </w:r>
      <w:r>
        <w:rPr>
          <w:rFonts w:ascii="Tahoma" w:hAnsi="Tahoma" w:cs="Tahoma"/>
          <w:sz w:val="24"/>
          <w:szCs w:val="24"/>
        </w:rPr>
        <w:t xml:space="preserve">mil milhões </w:t>
      </w:r>
      <w:r w:rsidRPr="00727804">
        <w:rPr>
          <w:rFonts w:ascii="Tahoma" w:hAnsi="Tahoma" w:cs="Tahoma"/>
          <w:sz w:val="24"/>
          <w:szCs w:val="24"/>
        </w:rPr>
        <w:t xml:space="preserve">a 140 mil milhões ao longo do ano de 2016. </w:t>
      </w:r>
    </w:p>
    <w:p w:rsidR="00C865BB" w:rsidRPr="00727804"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727804">
        <w:rPr>
          <w:rFonts w:ascii="Tahoma" w:hAnsi="Tahoma" w:cs="Tahoma"/>
          <w:sz w:val="24"/>
          <w:szCs w:val="24"/>
        </w:rPr>
        <w:t>Para além do PPRT, considerou-se a adopção de medidas legislativas complementares, capazes de promover a uniformização da tributação dos rendimentos do trabalho, o alargamento da base tributária e a promoção da equidade horizontal.</w:t>
      </w:r>
    </w:p>
    <w:p w:rsidR="00C865BB" w:rsidRPr="00B63450" w:rsidRDefault="00C865BB" w:rsidP="00C865BB">
      <w:pPr>
        <w:pStyle w:val="PargrafodaLista"/>
        <w:numPr>
          <w:ilvl w:val="1"/>
          <w:numId w:val="16"/>
        </w:numPr>
        <w:spacing w:after="120" w:line="480" w:lineRule="auto"/>
        <w:ind w:left="142" w:hanging="142"/>
        <w:outlineLvl w:val="1"/>
        <w:rPr>
          <w:rFonts w:ascii="Tahoma" w:eastAsia="Trebuchet MS" w:hAnsi="Tahoma" w:cs="Tahoma"/>
          <w:b/>
          <w:sz w:val="28"/>
          <w:szCs w:val="32"/>
          <w:lang w:eastAsia="ja-JP"/>
        </w:rPr>
      </w:pPr>
      <w:bookmarkStart w:id="24" w:name="_Toc440657388"/>
      <w:r w:rsidRPr="00B63450">
        <w:rPr>
          <w:rFonts w:ascii="Tahoma" w:eastAsia="Trebuchet MS" w:hAnsi="Tahoma" w:cs="Tahoma"/>
          <w:b/>
          <w:sz w:val="28"/>
          <w:szCs w:val="32"/>
          <w:lang w:eastAsia="ja-JP"/>
        </w:rPr>
        <w:t>Optimização da Despesa Pública</w:t>
      </w:r>
      <w:bookmarkEnd w:id="24"/>
    </w:p>
    <w:p w:rsidR="00C865BB" w:rsidRPr="00AD2EB9" w:rsidRDefault="00C865BB" w:rsidP="007155D7">
      <w:pPr>
        <w:pStyle w:val="PargrafodaLista"/>
        <w:numPr>
          <w:ilvl w:val="0"/>
          <w:numId w:val="21"/>
        </w:numPr>
        <w:spacing w:after="240" w:line="240" w:lineRule="auto"/>
        <w:ind w:left="142" w:right="-488" w:hanging="142"/>
        <w:contextualSpacing w:val="0"/>
        <w:jc w:val="both"/>
        <w:rPr>
          <w:rFonts w:ascii="Tahoma" w:hAnsi="Tahoma" w:cs="Tahoma"/>
          <w:sz w:val="24"/>
          <w:szCs w:val="24"/>
        </w:rPr>
      </w:pPr>
      <w:r>
        <w:rPr>
          <w:rFonts w:ascii="Tahoma" w:hAnsi="Tahoma" w:cs="Tahoma"/>
          <w:sz w:val="24"/>
          <w:szCs w:val="24"/>
        </w:rPr>
        <w:t xml:space="preserve">Com vista a reduzir a </w:t>
      </w:r>
      <w:r w:rsidRPr="00AD2EB9">
        <w:rPr>
          <w:rFonts w:ascii="Tahoma" w:hAnsi="Tahoma" w:cs="Tahoma"/>
          <w:sz w:val="24"/>
          <w:szCs w:val="24"/>
        </w:rPr>
        <w:t xml:space="preserve">despesa pública para um nível que garanta a sustentabilidade das finanças públicas, </w:t>
      </w:r>
      <w:r>
        <w:rPr>
          <w:rFonts w:ascii="Tahoma" w:hAnsi="Tahoma" w:cs="Tahoma"/>
          <w:sz w:val="24"/>
          <w:szCs w:val="24"/>
        </w:rPr>
        <w:t>devem adoptar-se as seguintes medidas:</w:t>
      </w:r>
    </w:p>
    <w:p w:rsidR="00C865BB" w:rsidRPr="00B95513" w:rsidRDefault="00C865BB" w:rsidP="00C865BB">
      <w:pPr>
        <w:pStyle w:val="PargrafodaLista"/>
        <w:numPr>
          <w:ilvl w:val="2"/>
          <w:numId w:val="16"/>
        </w:numPr>
        <w:spacing w:after="240" w:line="240" w:lineRule="auto"/>
        <w:ind w:left="142" w:hanging="142"/>
        <w:contextualSpacing w:val="0"/>
        <w:outlineLvl w:val="1"/>
        <w:rPr>
          <w:rFonts w:ascii="Tahoma" w:eastAsia="Trebuchet MS" w:hAnsi="Tahoma" w:cs="Tahoma"/>
          <w:b/>
          <w:sz w:val="24"/>
          <w:szCs w:val="24"/>
          <w:lang w:eastAsia="ja-JP"/>
        </w:rPr>
      </w:pPr>
      <w:bookmarkStart w:id="25" w:name="_Toc440657389"/>
      <w:r w:rsidRPr="00B95513">
        <w:rPr>
          <w:rFonts w:ascii="Tahoma" w:eastAsia="Trebuchet MS" w:hAnsi="Tahoma" w:cs="Tahoma"/>
          <w:b/>
          <w:sz w:val="24"/>
          <w:szCs w:val="24"/>
          <w:lang w:eastAsia="ja-JP"/>
        </w:rPr>
        <w:t>Despesas Com o Pessoal e Pensões</w:t>
      </w:r>
      <w:bookmarkEnd w:id="25"/>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Instituir o pagamento dos salários somente   de forma escritural, mediante Conta Bancária que deve estar acompanhada dos respectivos Números de Identificação Fiscal e Número de Inscrição na Segurança Social para os funcionários públicos e agentes administrativos civis;</w:t>
      </w:r>
    </w:p>
    <w:p w:rsidR="007155D7" w:rsidRDefault="007155D7" w:rsidP="007155D7">
      <w:pPr>
        <w:pStyle w:val="PargrafodaLista"/>
        <w:widowControl w:val="0"/>
        <w:spacing w:line="240" w:lineRule="auto"/>
        <w:ind w:left="862"/>
        <w:jc w:val="both"/>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Exigir que o recadastramento presencial, com dados biométricos seja sempre acompanhado da publicação do despacho de nomeação do respectivo beneficiário, quer seja no foro civil como militar;</w:t>
      </w:r>
    </w:p>
    <w:p w:rsidR="007155D7" w:rsidRPr="007155D7" w:rsidRDefault="007155D7" w:rsidP="007155D7">
      <w:pPr>
        <w:pStyle w:val="PargrafodaLista"/>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Acelerar o recadastramento presencial, com dados biométricos, dos funcionários públicos e agentes administrativos civis;</w:t>
      </w:r>
    </w:p>
    <w:p w:rsidR="007155D7" w:rsidRPr="007155D7" w:rsidRDefault="007155D7" w:rsidP="007155D7">
      <w:pPr>
        <w:pStyle w:val="PargrafodaLista"/>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Iniciar o recadastramento presencial do pessoal militar e paramilitar, pelos respectivos Órgãos dos Recursos Humanos, devendo estar concluindo até o III Trimestre de 2016;</w:t>
      </w:r>
    </w:p>
    <w:p w:rsidR="007155D7" w:rsidRPr="007155D7" w:rsidRDefault="007155D7" w:rsidP="007155D7">
      <w:pPr>
        <w:pStyle w:val="PargrafodaLista"/>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Iniciar o recadastramento presencial, com dados biométricos, dos antigos combatentes e autoridades tradicionais;</w:t>
      </w:r>
    </w:p>
    <w:p w:rsidR="007155D7" w:rsidRPr="007155D7" w:rsidRDefault="007155D7" w:rsidP="007155D7">
      <w:pPr>
        <w:pStyle w:val="PargrafodaLista"/>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Recadastrar, com dados biométricos, todos os beneficiários de pensões da Caixa de Segurança Social das Forças Armadas Angolanas;</w:t>
      </w:r>
    </w:p>
    <w:p w:rsidR="007155D7" w:rsidRPr="007155D7" w:rsidRDefault="007155D7" w:rsidP="007155D7">
      <w:pPr>
        <w:pStyle w:val="PargrafodaLista"/>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Informatizar o processamento dos subsídios das autoridades tradicionais no I Semestre de 2016;</w:t>
      </w:r>
    </w:p>
    <w:p w:rsidR="007155D7" w:rsidRPr="007155D7" w:rsidRDefault="007155D7" w:rsidP="007155D7">
      <w:pPr>
        <w:pStyle w:val="PargrafodaLista"/>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Estudar e viabilizar fontes adicionais às do OGE, para financiar o pagamento das pensões dos beneficiários das Caixas de Segurança Social das Forças Armadas e Policia Nacional. Nas condições actuais de quebra significativa da receita fiscal, torna-se inviável o financiamento da despesa com os pensionistas;</w:t>
      </w:r>
    </w:p>
    <w:p w:rsidR="007155D7" w:rsidRPr="007155D7" w:rsidRDefault="007155D7" w:rsidP="007155D7">
      <w:pPr>
        <w:pStyle w:val="PargrafodaLista"/>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Rever a legislação, sobre o financiamento e funcionamento das Caixas de segurança Social das Forças Armadas Angolanas e Policia Nacional;</w:t>
      </w:r>
    </w:p>
    <w:p w:rsidR="007155D7" w:rsidRPr="007155D7" w:rsidRDefault="007155D7" w:rsidP="007155D7">
      <w:pPr>
        <w:pStyle w:val="PargrafodaLista"/>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Suspender ou cancelar o pagamento de pensões aos beneficiários das Caixas de Segurança Social das Forças Armadas e Policia Nacional, que beneficiem de remunerações do Orçamento Geral do Estado. Esta medida visa eliminar o duplo esforço do OGE, ao pagar ao mesmo cidadão nacional a remuneração como funcionário público e a pensão com recursos igualmente públicos;</w:t>
      </w:r>
    </w:p>
    <w:p w:rsidR="007155D7" w:rsidRPr="007155D7" w:rsidRDefault="007155D7" w:rsidP="007155D7">
      <w:pPr>
        <w:pStyle w:val="PargrafodaLista"/>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Legislar sobre a obrigatoriedade de autorização prévia do Ministério das Finanças na admissão temporário de prestadores de serviço, através da celebração de contratos por tempo determinado a termo certo;</w:t>
      </w:r>
    </w:p>
    <w:p w:rsidR="007155D7" w:rsidRPr="007155D7" w:rsidRDefault="007155D7" w:rsidP="007155D7">
      <w:pPr>
        <w:pStyle w:val="PargrafodaLista"/>
        <w:rPr>
          <w:rFonts w:ascii="Tahoma" w:hAnsi="Tahoma" w:cs="Tahoma"/>
          <w:iCs/>
          <w:sz w:val="24"/>
          <w:szCs w:val="24"/>
        </w:rPr>
      </w:pPr>
    </w:p>
    <w:p w:rsidR="00C865BB"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Privilegiar a mobilidade interna no provimento de novos serviços, bem como, no funcionamento das Comissões Intersectoriais, Gabinetes Técnicos e outras Comissões Temporárias; e</w:t>
      </w:r>
    </w:p>
    <w:p w:rsidR="007155D7" w:rsidRPr="007155D7" w:rsidRDefault="007155D7" w:rsidP="007155D7">
      <w:pPr>
        <w:pStyle w:val="PargrafodaLista"/>
        <w:rPr>
          <w:rFonts w:ascii="Tahoma" w:hAnsi="Tahoma" w:cs="Tahoma"/>
          <w:iCs/>
          <w:sz w:val="24"/>
          <w:szCs w:val="24"/>
        </w:rPr>
      </w:pPr>
    </w:p>
    <w:p w:rsidR="00C865BB" w:rsidRPr="007155D7" w:rsidRDefault="00C865BB" w:rsidP="007155D7">
      <w:pPr>
        <w:pStyle w:val="PargrafodaLista"/>
        <w:widowControl w:val="0"/>
        <w:numPr>
          <w:ilvl w:val="0"/>
          <w:numId w:val="28"/>
        </w:numPr>
        <w:spacing w:line="240" w:lineRule="auto"/>
        <w:jc w:val="both"/>
        <w:rPr>
          <w:rFonts w:ascii="Tahoma" w:hAnsi="Tahoma" w:cs="Tahoma"/>
          <w:iCs/>
          <w:sz w:val="24"/>
          <w:szCs w:val="24"/>
        </w:rPr>
      </w:pPr>
      <w:r w:rsidRPr="007155D7">
        <w:rPr>
          <w:rFonts w:ascii="Tahoma" w:hAnsi="Tahoma" w:cs="Tahoma"/>
          <w:iCs/>
          <w:sz w:val="24"/>
          <w:szCs w:val="24"/>
        </w:rPr>
        <w:t>Rever o Quadro de Pessoal de todos os serviços externos.</w:t>
      </w:r>
    </w:p>
    <w:p w:rsidR="00C865BB" w:rsidRPr="00AD2EB9" w:rsidRDefault="00C865BB" w:rsidP="00C865BB">
      <w:pPr>
        <w:pStyle w:val="SemEspaamento"/>
        <w:ind w:left="142" w:hanging="142"/>
        <w:jc w:val="both"/>
        <w:rPr>
          <w:rFonts w:ascii="Tahoma" w:hAnsi="Tahoma" w:cs="Tahoma"/>
          <w:sz w:val="24"/>
          <w:szCs w:val="24"/>
        </w:rPr>
      </w:pPr>
    </w:p>
    <w:p w:rsidR="00C865BB" w:rsidRPr="00AF588B" w:rsidRDefault="00C865BB" w:rsidP="00C865BB">
      <w:pPr>
        <w:pStyle w:val="PargrafodaLista"/>
        <w:numPr>
          <w:ilvl w:val="2"/>
          <w:numId w:val="16"/>
        </w:numPr>
        <w:spacing w:after="240" w:line="240" w:lineRule="auto"/>
        <w:ind w:left="142" w:hanging="142"/>
        <w:contextualSpacing w:val="0"/>
        <w:outlineLvl w:val="1"/>
        <w:rPr>
          <w:rFonts w:ascii="Tahoma" w:eastAsia="Trebuchet MS" w:hAnsi="Tahoma" w:cs="Tahoma"/>
          <w:b/>
          <w:sz w:val="24"/>
          <w:szCs w:val="24"/>
          <w:lang w:eastAsia="ja-JP"/>
        </w:rPr>
      </w:pPr>
      <w:bookmarkStart w:id="26" w:name="_Toc440657390"/>
      <w:r w:rsidRPr="00AF588B">
        <w:rPr>
          <w:rFonts w:ascii="Tahoma" w:eastAsia="Trebuchet MS" w:hAnsi="Tahoma" w:cs="Tahoma"/>
          <w:b/>
          <w:sz w:val="24"/>
          <w:szCs w:val="24"/>
          <w:lang w:eastAsia="ja-JP"/>
        </w:rPr>
        <w:t>Despesas de Funcionamento e de Capital</w:t>
      </w:r>
      <w:bookmarkEnd w:id="26"/>
    </w:p>
    <w:p w:rsidR="00C865BB" w:rsidRDefault="00C865BB" w:rsidP="007155D7">
      <w:pPr>
        <w:pStyle w:val="PargrafodaLista"/>
        <w:widowControl w:val="0"/>
        <w:numPr>
          <w:ilvl w:val="0"/>
          <w:numId w:val="29"/>
        </w:numPr>
        <w:spacing w:line="240" w:lineRule="auto"/>
        <w:jc w:val="both"/>
        <w:rPr>
          <w:rFonts w:ascii="Tahoma" w:hAnsi="Tahoma" w:cs="Tahoma"/>
          <w:iCs/>
          <w:sz w:val="24"/>
          <w:szCs w:val="24"/>
        </w:rPr>
      </w:pPr>
      <w:r w:rsidRPr="007155D7">
        <w:rPr>
          <w:rFonts w:ascii="Tahoma" w:hAnsi="Tahoma" w:cs="Tahoma"/>
          <w:iCs/>
          <w:sz w:val="24"/>
          <w:szCs w:val="24"/>
        </w:rPr>
        <w:t>Responsabilizar os Co-Gestores das Unidades Orçamentais (Secretários Gerais) que não orçamentem, no processo de preparação do OGE, despesas prioritárias nos termos da Lei do OGE;</w:t>
      </w:r>
    </w:p>
    <w:p w:rsidR="00944E5F" w:rsidRDefault="00944E5F" w:rsidP="00944E5F">
      <w:pPr>
        <w:pStyle w:val="PargrafodaLista"/>
        <w:widowControl w:val="0"/>
        <w:spacing w:line="240" w:lineRule="auto"/>
        <w:ind w:left="862"/>
        <w:jc w:val="both"/>
        <w:rPr>
          <w:rFonts w:ascii="Tahoma" w:hAnsi="Tahoma" w:cs="Tahoma"/>
          <w:iCs/>
          <w:sz w:val="24"/>
          <w:szCs w:val="24"/>
        </w:rPr>
      </w:pPr>
    </w:p>
    <w:p w:rsidR="00C865BB" w:rsidRDefault="00C865BB" w:rsidP="007155D7">
      <w:pPr>
        <w:pStyle w:val="PargrafodaLista"/>
        <w:widowControl w:val="0"/>
        <w:numPr>
          <w:ilvl w:val="0"/>
          <w:numId w:val="29"/>
        </w:numPr>
        <w:spacing w:line="240" w:lineRule="auto"/>
        <w:jc w:val="both"/>
        <w:rPr>
          <w:rFonts w:ascii="Tahoma" w:hAnsi="Tahoma" w:cs="Tahoma"/>
          <w:iCs/>
          <w:sz w:val="24"/>
          <w:szCs w:val="24"/>
        </w:rPr>
      </w:pPr>
      <w:r w:rsidRPr="007155D7">
        <w:rPr>
          <w:rFonts w:ascii="Tahoma" w:hAnsi="Tahoma" w:cs="Tahoma"/>
          <w:iCs/>
          <w:sz w:val="24"/>
          <w:szCs w:val="24"/>
        </w:rPr>
        <w:t>Condicionar o início da execução financeira dos projectos de investimento público a apresentação do Relatório Final do processo de concurso, fazendo uso para o efeito do procedimento da cativação;</w:t>
      </w:r>
    </w:p>
    <w:p w:rsidR="00944E5F" w:rsidRPr="00944E5F" w:rsidRDefault="00944E5F" w:rsidP="00944E5F">
      <w:pPr>
        <w:pStyle w:val="PargrafodaLista"/>
        <w:rPr>
          <w:rFonts w:ascii="Tahoma" w:hAnsi="Tahoma" w:cs="Tahoma"/>
          <w:iCs/>
          <w:sz w:val="24"/>
          <w:szCs w:val="24"/>
        </w:rPr>
      </w:pPr>
    </w:p>
    <w:p w:rsidR="00C865BB" w:rsidRDefault="00C865BB" w:rsidP="00944E5F">
      <w:pPr>
        <w:pStyle w:val="PargrafodaLista"/>
        <w:widowControl w:val="0"/>
        <w:numPr>
          <w:ilvl w:val="0"/>
          <w:numId w:val="29"/>
        </w:numPr>
        <w:spacing w:line="240" w:lineRule="auto"/>
        <w:jc w:val="both"/>
        <w:rPr>
          <w:rFonts w:ascii="Tahoma" w:hAnsi="Tahoma" w:cs="Tahoma"/>
          <w:iCs/>
          <w:sz w:val="24"/>
          <w:szCs w:val="24"/>
        </w:rPr>
      </w:pPr>
      <w:r w:rsidRPr="00944E5F">
        <w:rPr>
          <w:rFonts w:ascii="Tahoma" w:hAnsi="Tahoma" w:cs="Tahoma"/>
          <w:iCs/>
          <w:sz w:val="24"/>
          <w:szCs w:val="24"/>
        </w:rPr>
        <w:t>Reforçar as medidas de fiscalização e monitorização das despesas em bens e serviços e projectos de investimento público;</w:t>
      </w:r>
    </w:p>
    <w:p w:rsidR="00944E5F" w:rsidRPr="00944E5F" w:rsidRDefault="00944E5F" w:rsidP="00944E5F">
      <w:pPr>
        <w:pStyle w:val="PargrafodaLista"/>
        <w:rPr>
          <w:rFonts w:ascii="Tahoma" w:hAnsi="Tahoma" w:cs="Tahoma"/>
          <w:iCs/>
          <w:sz w:val="24"/>
          <w:szCs w:val="24"/>
        </w:rPr>
      </w:pPr>
    </w:p>
    <w:p w:rsidR="00C865BB" w:rsidRDefault="00C865BB" w:rsidP="00944E5F">
      <w:pPr>
        <w:pStyle w:val="PargrafodaLista"/>
        <w:widowControl w:val="0"/>
        <w:numPr>
          <w:ilvl w:val="0"/>
          <w:numId w:val="29"/>
        </w:numPr>
        <w:spacing w:line="240" w:lineRule="auto"/>
        <w:jc w:val="both"/>
        <w:rPr>
          <w:rFonts w:ascii="Tahoma" w:hAnsi="Tahoma" w:cs="Tahoma"/>
          <w:iCs/>
          <w:sz w:val="24"/>
          <w:szCs w:val="24"/>
        </w:rPr>
      </w:pPr>
      <w:r w:rsidRPr="00944E5F">
        <w:rPr>
          <w:rFonts w:ascii="Tahoma" w:hAnsi="Tahoma" w:cs="Tahoma"/>
          <w:iCs/>
          <w:sz w:val="24"/>
          <w:szCs w:val="24"/>
        </w:rPr>
        <w:t>Privilegiar a realização de concursos públicos e a assinatura de acordos quadro, na realização de despesas em bens e serviços;</w:t>
      </w:r>
    </w:p>
    <w:p w:rsidR="00944E5F" w:rsidRPr="00944E5F" w:rsidRDefault="00944E5F" w:rsidP="00944E5F">
      <w:pPr>
        <w:pStyle w:val="PargrafodaLista"/>
        <w:rPr>
          <w:rFonts w:ascii="Tahoma" w:hAnsi="Tahoma" w:cs="Tahoma"/>
          <w:iCs/>
          <w:sz w:val="24"/>
          <w:szCs w:val="24"/>
        </w:rPr>
      </w:pPr>
    </w:p>
    <w:p w:rsidR="00C865BB" w:rsidRDefault="00C865BB" w:rsidP="00944E5F">
      <w:pPr>
        <w:pStyle w:val="PargrafodaLista"/>
        <w:widowControl w:val="0"/>
        <w:numPr>
          <w:ilvl w:val="0"/>
          <w:numId w:val="29"/>
        </w:numPr>
        <w:spacing w:line="240" w:lineRule="auto"/>
        <w:jc w:val="both"/>
        <w:rPr>
          <w:rFonts w:ascii="Tahoma" w:hAnsi="Tahoma" w:cs="Tahoma"/>
          <w:iCs/>
          <w:sz w:val="24"/>
          <w:szCs w:val="24"/>
        </w:rPr>
      </w:pPr>
      <w:r w:rsidRPr="00944E5F">
        <w:rPr>
          <w:rFonts w:ascii="Tahoma" w:hAnsi="Tahoma" w:cs="Tahoma"/>
          <w:iCs/>
          <w:sz w:val="24"/>
          <w:szCs w:val="24"/>
        </w:rPr>
        <w:t>Iniciar de forma gradual o procedimento de compras electrónicas;</w:t>
      </w:r>
    </w:p>
    <w:p w:rsidR="00944E5F" w:rsidRPr="00944E5F" w:rsidRDefault="00944E5F" w:rsidP="00944E5F">
      <w:pPr>
        <w:pStyle w:val="PargrafodaLista"/>
        <w:rPr>
          <w:rFonts w:ascii="Tahoma" w:hAnsi="Tahoma" w:cs="Tahoma"/>
          <w:iCs/>
          <w:sz w:val="24"/>
          <w:szCs w:val="24"/>
        </w:rPr>
      </w:pPr>
    </w:p>
    <w:p w:rsidR="00C865BB" w:rsidRDefault="00C865BB" w:rsidP="00944E5F">
      <w:pPr>
        <w:pStyle w:val="PargrafodaLista"/>
        <w:widowControl w:val="0"/>
        <w:numPr>
          <w:ilvl w:val="0"/>
          <w:numId w:val="29"/>
        </w:numPr>
        <w:spacing w:line="240" w:lineRule="auto"/>
        <w:jc w:val="both"/>
        <w:rPr>
          <w:rFonts w:ascii="Tahoma" w:hAnsi="Tahoma" w:cs="Tahoma"/>
          <w:iCs/>
          <w:sz w:val="24"/>
          <w:szCs w:val="24"/>
        </w:rPr>
      </w:pPr>
      <w:r w:rsidRPr="00944E5F">
        <w:rPr>
          <w:rFonts w:ascii="Tahoma" w:hAnsi="Tahoma" w:cs="Tahoma"/>
          <w:iCs/>
          <w:sz w:val="24"/>
          <w:szCs w:val="24"/>
        </w:rPr>
        <w:t>Vedar a aquisição pelas entidades públicas de viaturas de alta cilindragem, sendo as excepções apreciadas e autorizadas pelo Ministério das Finanças;</w:t>
      </w:r>
    </w:p>
    <w:p w:rsidR="00944E5F" w:rsidRPr="00944E5F" w:rsidRDefault="00944E5F" w:rsidP="00944E5F">
      <w:pPr>
        <w:pStyle w:val="PargrafodaLista"/>
        <w:rPr>
          <w:rFonts w:ascii="Tahoma" w:hAnsi="Tahoma" w:cs="Tahoma"/>
          <w:iCs/>
          <w:sz w:val="24"/>
          <w:szCs w:val="24"/>
        </w:rPr>
      </w:pPr>
    </w:p>
    <w:p w:rsidR="00C865BB" w:rsidRDefault="00C865BB" w:rsidP="00944E5F">
      <w:pPr>
        <w:pStyle w:val="PargrafodaLista"/>
        <w:widowControl w:val="0"/>
        <w:numPr>
          <w:ilvl w:val="0"/>
          <w:numId w:val="29"/>
        </w:numPr>
        <w:spacing w:line="240" w:lineRule="auto"/>
        <w:jc w:val="both"/>
        <w:rPr>
          <w:rFonts w:ascii="Tahoma" w:hAnsi="Tahoma" w:cs="Tahoma"/>
          <w:iCs/>
          <w:sz w:val="24"/>
          <w:szCs w:val="24"/>
        </w:rPr>
      </w:pPr>
      <w:r w:rsidRPr="00944E5F">
        <w:rPr>
          <w:rFonts w:ascii="Tahoma" w:hAnsi="Tahoma" w:cs="Tahoma"/>
          <w:iCs/>
          <w:sz w:val="24"/>
          <w:szCs w:val="24"/>
        </w:rPr>
        <w:t>Tornar obrigatória a identificação de todas as viaturas das instituições públicas, inclusive das empresas públicas, excepto as atribuídas nos termos da legislação em vigor para uso pessoal;</w:t>
      </w:r>
    </w:p>
    <w:p w:rsidR="00944E5F" w:rsidRPr="00944E5F" w:rsidRDefault="00944E5F" w:rsidP="00944E5F">
      <w:pPr>
        <w:pStyle w:val="PargrafodaLista"/>
        <w:rPr>
          <w:rFonts w:ascii="Tahoma" w:hAnsi="Tahoma" w:cs="Tahoma"/>
          <w:iCs/>
          <w:sz w:val="24"/>
          <w:szCs w:val="24"/>
        </w:rPr>
      </w:pPr>
    </w:p>
    <w:p w:rsidR="00C865BB" w:rsidRDefault="00C865BB" w:rsidP="00944E5F">
      <w:pPr>
        <w:pStyle w:val="PargrafodaLista"/>
        <w:widowControl w:val="0"/>
        <w:numPr>
          <w:ilvl w:val="0"/>
          <w:numId w:val="29"/>
        </w:numPr>
        <w:spacing w:line="240" w:lineRule="auto"/>
        <w:jc w:val="both"/>
        <w:rPr>
          <w:rFonts w:ascii="Tahoma" w:hAnsi="Tahoma" w:cs="Tahoma"/>
          <w:iCs/>
          <w:sz w:val="24"/>
          <w:szCs w:val="24"/>
        </w:rPr>
      </w:pPr>
      <w:r w:rsidRPr="00944E5F">
        <w:rPr>
          <w:rFonts w:ascii="Tahoma" w:hAnsi="Tahoma" w:cs="Tahoma"/>
          <w:iCs/>
          <w:sz w:val="24"/>
          <w:szCs w:val="24"/>
        </w:rPr>
        <w:t>Desenvolver uma ampla campanha de esclarecimento do papel das Notas de Cabimentação e Liquidação junto dos prestadores de serviço ao Estado, após a qual não deve ser reconhecida qualquer reclamação de dívida que não esteja suportada pela Nota de Cabimentação e Nota de Liquidação; e</w:t>
      </w:r>
    </w:p>
    <w:p w:rsidR="00944E5F" w:rsidRPr="00944E5F" w:rsidRDefault="00944E5F" w:rsidP="00944E5F">
      <w:pPr>
        <w:pStyle w:val="PargrafodaLista"/>
        <w:rPr>
          <w:rFonts w:ascii="Tahoma" w:hAnsi="Tahoma" w:cs="Tahoma"/>
          <w:iCs/>
          <w:sz w:val="24"/>
          <w:szCs w:val="24"/>
        </w:rPr>
      </w:pPr>
    </w:p>
    <w:p w:rsidR="00C865BB" w:rsidRDefault="00C865BB" w:rsidP="00944E5F">
      <w:pPr>
        <w:pStyle w:val="PargrafodaLista"/>
        <w:widowControl w:val="0"/>
        <w:numPr>
          <w:ilvl w:val="0"/>
          <w:numId w:val="29"/>
        </w:numPr>
        <w:spacing w:line="240" w:lineRule="auto"/>
        <w:jc w:val="both"/>
        <w:rPr>
          <w:rFonts w:ascii="Tahoma" w:hAnsi="Tahoma" w:cs="Tahoma"/>
          <w:iCs/>
          <w:sz w:val="24"/>
          <w:szCs w:val="24"/>
        </w:rPr>
      </w:pPr>
      <w:r w:rsidRPr="00944E5F">
        <w:rPr>
          <w:rFonts w:ascii="Tahoma" w:hAnsi="Tahoma" w:cs="Tahoma"/>
          <w:iCs/>
          <w:sz w:val="24"/>
          <w:szCs w:val="24"/>
        </w:rPr>
        <w:t>Limitar a utilização da Reserva Orçamental a cobertura de situações de em</w:t>
      </w:r>
      <w:r w:rsidR="00944E5F">
        <w:rPr>
          <w:rFonts w:ascii="Tahoma" w:hAnsi="Tahoma" w:cs="Tahoma"/>
          <w:iCs/>
          <w:sz w:val="24"/>
          <w:szCs w:val="24"/>
        </w:rPr>
        <w:t>ergência e catástrofes naturais.</w:t>
      </w:r>
    </w:p>
    <w:p w:rsidR="00944E5F" w:rsidRPr="00944E5F" w:rsidRDefault="00944E5F" w:rsidP="00944E5F">
      <w:pPr>
        <w:pStyle w:val="PargrafodaLista"/>
        <w:rPr>
          <w:rFonts w:ascii="Tahoma" w:hAnsi="Tahoma" w:cs="Tahoma"/>
          <w:iCs/>
          <w:sz w:val="24"/>
          <w:szCs w:val="24"/>
        </w:rPr>
      </w:pPr>
    </w:p>
    <w:p w:rsidR="00944E5F" w:rsidRPr="00944E5F" w:rsidRDefault="00944E5F" w:rsidP="00944E5F">
      <w:pPr>
        <w:pStyle w:val="PargrafodaLista"/>
        <w:widowControl w:val="0"/>
        <w:spacing w:line="240" w:lineRule="auto"/>
        <w:ind w:left="862"/>
        <w:jc w:val="both"/>
        <w:rPr>
          <w:rFonts w:ascii="Tahoma" w:hAnsi="Tahoma" w:cs="Tahoma"/>
          <w:iCs/>
          <w:sz w:val="24"/>
          <w:szCs w:val="24"/>
        </w:rPr>
      </w:pPr>
    </w:p>
    <w:p w:rsidR="00944E5F" w:rsidRPr="00944E5F" w:rsidRDefault="00C865BB" w:rsidP="00944E5F">
      <w:pPr>
        <w:pStyle w:val="PargrafodaLista"/>
        <w:numPr>
          <w:ilvl w:val="2"/>
          <w:numId w:val="16"/>
        </w:numPr>
        <w:spacing w:after="120" w:line="480" w:lineRule="auto"/>
        <w:ind w:left="142" w:hanging="142"/>
        <w:outlineLvl w:val="1"/>
        <w:rPr>
          <w:rFonts w:ascii="Tahoma" w:eastAsia="Trebuchet MS" w:hAnsi="Tahoma" w:cs="Tahoma"/>
          <w:b/>
          <w:sz w:val="24"/>
          <w:szCs w:val="24"/>
          <w:lang w:eastAsia="ja-JP"/>
        </w:rPr>
      </w:pPr>
      <w:bookmarkStart w:id="27" w:name="_Toc440657391"/>
      <w:r w:rsidRPr="00AF588B">
        <w:rPr>
          <w:rFonts w:ascii="Tahoma" w:eastAsia="Trebuchet MS" w:hAnsi="Tahoma" w:cs="Tahoma"/>
          <w:b/>
          <w:sz w:val="24"/>
          <w:szCs w:val="24"/>
          <w:lang w:eastAsia="ja-JP"/>
        </w:rPr>
        <w:t>Medidas de Natureza Estrutural</w:t>
      </w:r>
      <w:bookmarkEnd w:id="27"/>
      <w:r w:rsidRPr="00AF588B">
        <w:rPr>
          <w:rFonts w:ascii="Tahoma" w:eastAsia="Trebuchet MS" w:hAnsi="Tahoma" w:cs="Tahoma"/>
          <w:b/>
          <w:sz w:val="24"/>
          <w:szCs w:val="24"/>
          <w:lang w:eastAsia="ja-JP"/>
        </w:rPr>
        <w:t xml:space="preserve"> </w:t>
      </w:r>
    </w:p>
    <w:p w:rsidR="00C865BB" w:rsidRPr="00AD2EB9"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 xml:space="preserve">Neste domínio considera-se </w:t>
      </w:r>
      <w:r w:rsidRPr="00AD2EB9">
        <w:rPr>
          <w:rFonts w:ascii="Tahoma" w:hAnsi="Tahoma" w:cs="Tahoma"/>
          <w:sz w:val="24"/>
          <w:szCs w:val="24"/>
        </w:rPr>
        <w:t xml:space="preserve"> necessária a implementação das seguintes medidas:</w:t>
      </w:r>
    </w:p>
    <w:p w:rsidR="00872086" w:rsidRDefault="00C865BB" w:rsidP="00872086">
      <w:pPr>
        <w:pStyle w:val="PargrafodaLista"/>
        <w:widowControl w:val="0"/>
        <w:numPr>
          <w:ilvl w:val="0"/>
          <w:numId w:val="30"/>
        </w:numPr>
        <w:spacing w:line="240" w:lineRule="auto"/>
        <w:jc w:val="both"/>
        <w:rPr>
          <w:rFonts w:ascii="Tahoma" w:hAnsi="Tahoma" w:cs="Tahoma"/>
          <w:iCs/>
          <w:sz w:val="24"/>
          <w:szCs w:val="24"/>
        </w:rPr>
      </w:pPr>
      <w:r w:rsidRPr="00944E5F">
        <w:rPr>
          <w:rFonts w:ascii="Tahoma" w:hAnsi="Tahoma" w:cs="Tahoma"/>
          <w:iCs/>
          <w:sz w:val="24"/>
          <w:szCs w:val="24"/>
        </w:rPr>
        <w:t>Racionalizar a estrutura da administração central e local do Estado;</w:t>
      </w:r>
    </w:p>
    <w:p w:rsidR="00872086" w:rsidRPr="00872086" w:rsidRDefault="00872086" w:rsidP="00872086">
      <w:pPr>
        <w:pStyle w:val="PargrafodaLista"/>
        <w:widowControl w:val="0"/>
        <w:spacing w:line="240" w:lineRule="auto"/>
        <w:ind w:left="862"/>
        <w:jc w:val="both"/>
        <w:rPr>
          <w:rFonts w:ascii="Tahoma" w:hAnsi="Tahoma" w:cs="Tahoma"/>
          <w:iCs/>
          <w:sz w:val="24"/>
          <w:szCs w:val="24"/>
        </w:rPr>
      </w:pPr>
    </w:p>
    <w:p w:rsidR="00C865BB" w:rsidRDefault="00C865BB" w:rsidP="00944E5F">
      <w:pPr>
        <w:pStyle w:val="PargrafodaLista"/>
        <w:widowControl w:val="0"/>
        <w:numPr>
          <w:ilvl w:val="0"/>
          <w:numId w:val="30"/>
        </w:numPr>
        <w:spacing w:line="240" w:lineRule="auto"/>
        <w:jc w:val="both"/>
        <w:rPr>
          <w:rFonts w:ascii="Tahoma" w:hAnsi="Tahoma" w:cs="Tahoma"/>
          <w:iCs/>
          <w:sz w:val="24"/>
          <w:szCs w:val="24"/>
        </w:rPr>
      </w:pPr>
      <w:r w:rsidRPr="00944E5F">
        <w:rPr>
          <w:rFonts w:ascii="Tahoma" w:hAnsi="Tahoma" w:cs="Tahoma"/>
          <w:iCs/>
          <w:sz w:val="24"/>
          <w:szCs w:val="24"/>
        </w:rPr>
        <w:t>Limitar as viagens em serviço ao estrangeiro às essenciais;</w:t>
      </w:r>
    </w:p>
    <w:p w:rsidR="00872086" w:rsidRDefault="00872086" w:rsidP="00872086">
      <w:pPr>
        <w:pStyle w:val="PargrafodaLista"/>
        <w:widowControl w:val="0"/>
        <w:spacing w:line="240" w:lineRule="auto"/>
        <w:ind w:left="862"/>
        <w:jc w:val="both"/>
        <w:rPr>
          <w:rFonts w:ascii="Tahoma" w:hAnsi="Tahoma" w:cs="Tahoma"/>
          <w:iCs/>
          <w:sz w:val="24"/>
          <w:szCs w:val="24"/>
        </w:rPr>
      </w:pPr>
    </w:p>
    <w:p w:rsidR="00C865BB" w:rsidRDefault="00C865BB" w:rsidP="00872086">
      <w:pPr>
        <w:pStyle w:val="PargrafodaLista"/>
        <w:widowControl w:val="0"/>
        <w:numPr>
          <w:ilvl w:val="0"/>
          <w:numId w:val="30"/>
        </w:numPr>
        <w:spacing w:line="240" w:lineRule="auto"/>
        <w:jc w:val="both"/>
        <w:rPr>
          <w:rFonts w:ascii="Tahoma" w:hAnsi="Tahoma" w:cs="Tahoma"/>
          <w:iCs/>
          <w:sz w:val="24"/>
          <w:szCs w:val="24"/>
        </w:rPr>
      </w:pPr>
      <w:r w:rsidRPr="00872086">
        <w:rPr>
          <w:rFonts w:ascii="Tahoma" w:hAnsi="Tahoma" w:cs="Tahoma"/>
          <w:iCs/>
          <w:sz w:val="24"/>
          <w:szCs w:val="24"/>
        </w:rPr>
        <w:t>Congelar o aumento das remunerações;</w:t>
      </w:r>
    </w:p>
    <w:p w:rsidR="00872086" w:rsidRPr="00872086" w:rsidRDefault="00872086" w:rsidP="00872086">
      <w:pPr>
        <w:pStyle w:val="PargrafodaLista"/>
        <w:rPr>
          <w:rFonts w:ascii="Tahoma" w:hAnsi="Tahoma" w:cs="Tahoma"/>
          <w:iCs/>
          <w:sz w:val="24"/>
          <w:szCs w:val="24"/>
        </w:rPr>
      </w:pPr>
    </w:p>
    <w:p w:rsidR="00C865BB" w:rsidRDefault="00C865BB" w:rsidP="00872086">
      <w:pPr>
        <w:pStyle w:val="PargrafodaLista"/>
        <w:widowControl w:val="0"/>
        <w:numPr>
          <w:ilvl w:val="0"/>
          <w:numId w:val="30"/>
        </w:numPr>
        <w:spacing w:line="240" w:lineRule="auto"/>
        <w:jc w:val="both"/>
        <w:rPr>
          <w:rFonts w:ascii="Tahoma" w:hAnsi="Tahoma" w:cs="Tahoma"/>
          <w:iCs/>
          <w:sz w:val="24"/>
          <w:szCs w:val="24"/>
        </w:rPr>
      </w:pPr>
      <w:r w:rsidRPr="00872086">
        <w:rPr>
          <w:rFonts w:ascii="Tahoma" w:hAnsi="Tahoma" w:cs="Tahoma"/>
          <w:iCs/>
          <w:sz w:val="24"/>
          <w:szCs w:val="24"/>
        </w:rPr>
        <w:t>Limitar o recrutamento de pessoal ao avaliado como essencial para a melhoria dos serviços de saúde, de educação e dos serviços de assistência social.</w:t>
      </w:r>
    </w:p>
    <w:p w:rsidR="00872086" w:rsidRPr="00872086" w:rsidRDefault="00872086" w:rsidP="00872086">
      <w:pPr>
        <w:pStyle w:val="PargrafodaLista"/>
        <w:rPr>
          <w:rFonts w:ascii="Tahoma" w:hAnsi="Tahoma" w:cs="Tahoma"/>
          <w:iCs/>
          <w:sz w:val="24"/>
          <w:szCs w:val="24"/>
        </w:rPr>
      </w:pPr>
    </w:p>
    <w:p w:rsidR="00872086" w:rsidRPr="00872086" w:rsidRDefault="00872086" w:rsidP="00872086">
      <w:pPr>
        <w:pStyle w:val="PargrafodaLista"/>
        <w:widowControl w:val="0"/>
        <w:spacing w:line="240" w:lineRule="auto"/>
        <w:ind w:left="862"/>
        <w:jc w:val="both"/>
        <w:rPr>
          <w:rFonts w:ascii="Tahoma" w:hAnsi="Tahoma" w:cs="Tahoma"/>
          <w:iCs/>
          <w:sz w:val="24"/>
          <w:szCs w:val="24"/>
        </w:rPr>
      </w:pPr>
    </w:p>
    <w:p w:rsidR="00C865BB" w:rsidRPr="00C55D21"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C55D21">
        <w:rPr>
          <w:rFonts w:ascii="Tahoma" w:hAnsi="Tahoma" w:cs="Tahoma"/>
          <w:sz w:val="24"/>
          <w:szCs w:val="24"/>
        </w:rPr>
        <w:t xml:space="preserve">Estabelecer a obrigatoriedade das instituições públicas contratarem os bens e serviços </w:t>
      </w:r>
      <w:r>
        <w:rPr>
          <w:rFonts w:ascii="Tahoma" w:hAnsi="Tahoma" w:cs="Tahoma"/>
          <w:sz w:val="24"/>
          <w:szCs w:val="24"/>
        </w:rPr>
        <w:t xml:space="preserve">disponíveis </w:t>
      </w:r>
      <w:r w:rsidRPr="00C55D21">
        <w:rPr>
          <w:rFonts w:ascii="Tahoma" w:hAnsi="Tahoma" w:cs="Tahoma"/>
          <w:sz w:val="24"/>
          <w:szCs w:val="24"/>
        </w:rPr>
        <w:t>no mercado interno em vez de privilegiarem as importações, incluindo as aquisições de alimentos e outros meios logísticos pelas forças armadas e polícia nacional.</w:t>
      </w:r>
    </w:p>
    <w:p w:rsidR="00C865BB" w:rsidRPr="00AF588B" w:rsidRDefault="00C865BB" w:rsidP="00C865BB">
      <w:pPr>
        <w:pStyle w:val="PargrafodaLista"/>
        <w:numPr>
          <w:ilvl w:val="2"/>
          <w:numId w:val="16"/>
        </w:numPr>
        <w:spacing w:after="240" w:line="240" w:lineRule="auto"/>
        <w:ind w:left="142" w:hanging="142"/>
        <w:contextualSpacing w:val="0"/>
        <w:outlineLvl w:val="1"/>
        <w:rPr>
          <w:rFonts w:ascii="Tahoma" w:eastAsia="Trebuchet MS" w:hAnsi="Tahoma" w:cs="Tahoma"/>
          <w:b/>
          <w:sz w:val="24"/>
          <w:szCs w:val="24"/>
          <w:lang w:eastAsia="ja-JP"/>
        </w:rPr>
      </w:pPr>
      <w:bookmarkStart w:id="28" w:name="_Toc440657392"/>
      <w:r w:rsidRPr="00AF588B">
        <w:rPr>
          <w:rFonts w:ascii="Tahoma" w:eastAsia="Trebuchet MS" w:hAnsi="Tahoma" w:cs="Tahoma"/>
          <w:b/>
          <w:sz w:val="24"/>
          <w:szCs w:val="24"/>
          <w:lang w:eastAsia="ja-JP"/>
        </w:rPr>
        <w:t>Outras Medidas</w:t>
      </w:r>
      <w:bookmarkEnd w:id="28"/>
    </w:p>
    <w:p w:rsidR="00C865BB" w:rsidRDefault="00C865BB" w:rsidP="00872086">
      <w:pPr>
        <w:pStyle w:val="PargrafodaLista"/>
        <w:widowControl w:val="0"/>
        <w:numPr>
          <w:ilvl w:val="0"/>
          <w:numId w:val="31"/>
        </w:numPr>
        <w:spacing w:line="240" w:lineRule="auto"/>
        <w:jc w:val="both"/>
        <w:rPr>
          <w:rFonts w:ascii="Tahoma" w:hAnsi="Tahoma" w:cs="Tahoma"/>
          <w:iCs/>
          <w:sz w:val="24"/>
          <w:szCs w:val="24"/>
        </w:rPr>
      </w:pPr>
      <w:r w:rsidRPr="00872086">
        <w:rPr>
          <w:rFonts w:ascii="Tahoma" w:hAnsi="Tahoma" w:cs="Tahoma"/>
          <w:iCs/>
          <w:sz w:val="24"/>
          <w:szCs w:val="24"/>
        </w:rPr>
        <w:t>Dar continuidade ao processo de optimização das subvenções ao preço da energia, água e transporte colectivo urbano (ferroviário, marítimo e terrestre);</w:t>
      </w:r>
    </w:p>
    <w:p w:rsidR="00872086" w:rsidRDefault="00872086" w:rsidP="00872086">
      <w:pPr>
        <w:pStyle w:val="PargrafodaLista"/>
        <w:widowControl w:val="0"/>
        <w:spacing w:line="240" w:lineRule="auto"/>
        <w:ind w:left="862"/>
        <w:jc w:val="both"/>
        <w:rPr>
          <w:rFonts w:ascii="Tahoma" w:hAnsi="Tahoma" w:cs="Tahoma"/>
          <w:iCs/>
          <w:sz w:val="24"/>
          <w:szCs w:val="24"/>
        </w:rPr>
      </w:pPr>
    </w:p>
    <w:p w:rsidR="00C865BB" w:rsidRDefault="00C865BB" w:rsidP="00872086">
      <w:pPr>
        <w:pStyle w:val="PargrafodaLista"/>
        <w:widowControl w:val="0"/>
        <w:numPr>
          <w:ilvl w:val="0"/>
          <w:numId w:val="31"/>
        </w:numPr>
        <w:spacing w:line="240" w:lineRule="auto"/>
        <w:jc w:val="both"/>
        <w:rPr>
          <w:rFonts w:ascii="Tahoma" w:hAnsi="Tahoma" w:cs="Tahoma"/>
          <w:iCs/>
          <w:sz w:val="24"/>
          <w:szCs w:val="24"/>
        </w:rPr>
      </w:pPr>
      <w:r w:rsidRPr="00872086">
        <w:rPr>
          <w:rFonts w:ascii="Tahoma" w:hAnsi="Tahoma" w:cs="Tahoma"/>
          <w:iCs/>
          <w:sz w:val="24"/>
          <w:szCs w:val="24"/>
        </w:rPr>
        <w:t>Avaliar o nível de despesas realizadas, ao abrigo das receitas consignadas, pelos Institutos Públicos, Serviços Autónomos e Serviços Executivos;</w:t>
      </w:r>
    </w:p>
    <w:p w:rsidR="00872086" w:rsidRPr="00872086" w:rsidRDefault="00872086" w:rsidP="00872086">
      <w:pPr>
        <w:pStyle w:val="PargrafodaLista"/>
        <w:rPr>
          <w:rFonts w:ascii="Tahoma" w:hAnsi="Tahoma" w:cs="Tahoma"/>
          <w:iCs/>
          <w:sz w:val="24"/>
          <w:szCs w:val="24"/>
        </w:rPr>
      </w:pPr>
    </w:p>
    <w:p w:rsidR="00C865BB" w:rsidRDefault="00C865BB" w:rsidP="00872086">
      <w:pPr>
        <w:pStyle w:val="PargrafodaLista"/>
        <w:widowControl w:val="0"/>
        <w:numPr>
          <w:ilvl w:val="0"/>
          <w:numId w:val="31"/>
        </w:numPr>
        <w:spacing w:line="240" w:lineRule="auto"/>
        <w:jc w:val="both"/>
        <w:rPr>
          <w:rFonts w:ascii="Tahoma" w:hAnsi="Tahoma" w:cs="Tahoma"/>
          <w:iCs/>
          <w:sz w:val="24"/>
          <w:szCs w:val="24"/>
        </w:rPr>
      </w:pPr>
      <w:r w:rsidRPr="00872086">
        <w:rPr>
          <w:rFonts w:ascii="Tahoma" w:hAnsi="Tahoma" w:cs="Tahoma"/>
          <w:iCs/>
          <w:sz w:val="24"/>
          <w:szCs w:val="24"/>
        </w:rPr>
        <w:t xml:space="preserve">Fiscalizar o cumprimento da legislação em vigor, quanto aos dias e valor da diária a que têm direito os funcionários públicos e trabalhadores das empresas públicas nas suas deslocações ao exterior do país em missão de </w:t>
      </w:r>
      <w:r w:rsidRPr="00872086">
        <w:rPr>
          <w:rFonts w:ascii="Tahoma" w:hAnsi="Tahoma" w:cs="Tahoma"/>
          <w:iCs/>
          <w:sz w:val="24"/>
          <w:szCs w:val="24"/>
        </w:rPr>
        <w:lastRenderedPageBreak/>
        <w:t>serviço; e</w:t>
      </w:r>
    </w:p>
    <w:p w:rsidR="00872086" w:rsidRPr="00872086" w:rsidRDefault="00872086" w:rsidP="00872086">
      <w:pPr>
        <w:pStyle w:val="PargrafodaLista"/>
        <w:rPr>
          <w:rFonts w:ascii="Tahoma" w:hAnsi="Tahoma" w:cs="Tahoma"/>
          <w:iCs/>
          <w:sz w:val="24"/>
          <w:szCs w:val="24"/>
        </w:rPr>
      </w:pPr>
    </w:p>
    <w:p w:rsidR="00C865BB" w:rsidRDefault="00C865BB" w:rsidP="00872086">
      <w:pPr>
        <w:pStyle w:val="PargrafodaLista"/>
        <w:widowControl w:val="0"/>
        <w:numPr>
          <w:ilvl w:val="0"/>
          <w:numId w:val="31"/>
        </w:numPr>
        <w:spacing w:line="240" w:lineRule="auto"/>
        <w:jc w:val="both"/>
        <w:rPr>
          <w:rFonts w:ascii="Tahoma" w:hAnsi="Tahoma" w:cs="Tahoma"/>
          <w:iCs/>
          <w:sz w:val="24"/>
          <w:szCs w:val="24"/>
        </w:rPr>
      </w:pPr>
      <w:r w:rsidRPr="00872086">
        <w:rPr>
          <w:rFonts w:ascii="Tahoma" w:hAnsi="Tahoma" w:cs="Tahoma"/>
          <w:iCs/>
          <w:sz w:val="24"/>
          <w:szCs w:val="24"/>
        </w:rPr>
        <w:t>Desencadear acções de fiscalização do cumprimento da legislação em vigor no processamento de horas acrescidas e chamadas pelas unidades hospitalares.</w:t>
      </w:r>
    </w:p>
    <w:p w:rsidR="00872086" w:rsidRPr="00872086" w:rsidRDefault="00872086" w:rsidP="00872086">
      <w:pPr>
        <w:pStyle w:val="PargrafodaLista"/>
        <w:rPr>
          <w:rFonts w:ascii="Tahoma" w:hAnsi="Tahoma" w:cs="Tahoma"/>
          <w:iCs/>
          <w:sz w:val="24"/>
          <w:szCs w:val="24"/>
        </w:rPr>
      </w:pPr>
    </w:p>
    <w:p w:rsidR="00872086" w:rsidRPr="00872086" w:rsidRDefault="00872086" w:rsidP="00872086">
      <w:pPr>
        <w:pStyle w:val="PargrafodaLista"/>
        <w:widowControl w:val="0"/>
        <w:spacing w:line="240" w:lineRule="auto"/>
        <w:ind w:left="862"/>
        <w:jc w:val="both"/>
        <w:rPr>
          <w:rFonts w:ascii="Tahoma" w:hAnsi="Tahoma" w:cs="Tahoma"/>
          <w:iCs/>
          <w:sz w:val="24"/>
          <w:szCs w:val="24"/>
        </w:rPr>
      </w:pPr>
    </w:p>
    <w:p w:rsidR="00C865BB" w:rsidRPr="00AD2EB9" w:rsidRDefault="00C865BB" w:rsidP="007155D7">
      <w:pPr>
        <w:pStyle w:val="PargrafodaLista"/>
        <w:numPr>
          <w:ilvl w:val="0"/>
          <w:numId w:val="21"/>
        </w:numPr>
        <w:spacing w:after="36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As medidas acima elencadas deverão permitir a racionalização das despesas públicas e a sua melhor qualidade, permitindo assegurar o pagamento atempado dos salários e o funcionamento normal das instituições do Estado.</w:t>
      </w:r>
    </w:p>
    <w:p w:rsidR="00C865BB" w:rsidRPr="00B63450" w:rsidRDefault="00C865BB" w:rsidP="00C865BB">
      <w:pPr>
        <w:pStyle w:val="PargrafodaLista"/>
        <w:numPr>
          <w:ilvl w:val="1"/>
          <w:numId w:val="16"/>
        </w:numPr>
        <w:spacing w:after="120" w:line="480" w:lineRule="auto"/>
        <w:ind w:left="142" w:hanging="142"/>
        <w:outlineLvl w:val="1"/>
        <w:rPr>
          <w:rFonts w:ascii="Tahoma" w:eastAsia="Trebuchet MS" w:hAnsi="Tahoma" w:cs="Tahoma"/>
          <w:b/>
          <w:sz w:val="28"/>
          <w:szCs w:val="32"/>
          <w:lang w:eastAsia="ja-JP"/>
        </w:rPr>
      </w:pPr>
      <w:bookmarkStart w:id="29" w:name="_Toc440657393"/>
      <w:r w:rsidRPr="00B63450">
        <w:rPr>
          <w:rFonts w:ascii="Tahoma" w:eastAsia="Trebuchet MS" w:hAnsi="Tahoma" w:cs="Tahoma"/>
          <w:b/>
          <w:sz w:val="28"/>
          <w:szCs w:val="32"/>
          <w:lang w:eastAsia="ja-JP"/>
        </w:rPr>
        <w:t>Política Monetária</w:t>
      </w:r>
      <w:r>
        <w:rPr>
          <w:rFonts w:ascii="Tahoma" w:eastAsia="Trebuchet MS" w:hAnsi="Tahoma" w:cs="Tahoma"/>
          <w:b/>
          <w:sz w:val="28"/>
          <w:szCs w:val="32"/>
          <w:lang w:eastAsia="ja-JP"/>
        </w:rPr>
        <w:t>,</w:t>
      </w:r>
      <w:r w:rsidRPr="00B63450">
        <w:rPr>
          <w:rFonts w:ascii="Tahoma" w:eastAsia="Trebuchet MS" w:hAnsi="Tahoma" w:cs="Tahoma"/>
          <w:b/>
          <w:sz w:val="28"/>
          <w:szCs w:val="32"/>
          <w:lang w:eastAsia="ja-JP"/>
        </w:rPr>
        <w:t xml:space="preserve"> Cambial e do Sector Externo</w:t>
      </w:r>
      <w:bookmarkEnd w:id="29"/>
    </w:p>
    <w:p w:rsidR="00C865BB" w:rsidRPr="00B95513" w:rsidRDefault="00C865BB" w:rsidP="00C865BB">
      <w:pPr>
        <w:pStyle w:val="PargrafodaLista"/>
        <w:numPr>
          <w:ilvl w:val="2"/>
          <w:numId w:val="16"/>
        </w:numPr>
        <w:spacing w:after="120" w:line="480" w:lineRule="auto"/>
        <w:ind w:left="142" w:hanging="142"/>
        <w:outlineLvl w:val="1"/>
        <w:rPr>
          <w:rFonts w:ascii="Tahoma" w:eastAsia="Trebuchet MS" w:hAnsi="Tahoma" w:cs="Tahoma"/>
          <w:b/>
          <w:sz w:val="24"/>
          <w:szCs w:val="24"/>
          <w:lang w:eastAsia="ja-JP"/>
        </w:rPr>
      </w:pPr>
      <w:bookmarkStart w:id="30" w:name="_Toc428563681"/>
      <w:bookmarkStart w:id="31" w:name="_Toc440657394"/>
      <w:r w:rsidRPr="00B95513">
        <w:rPr>
          <w:rFonts w:ascii="Tahoma" w:eastAsia="Trebuchet MS" w:hAnsi="Tahoma" w:cs="Tahoma"/>
          <w:b/>
          <w:sz w:val="24"/>
          <w:szCs w:val="24"/>
          <w:lang w:eastAsia="ja-JP"/>
        </w:rPr>
        <w:t>Política Cambial e do Sector Externo</w:t>
      </w:r>
      <w:bookmarkEnd w:id="30"/>
      <w:bookmarkEnd w:id="31"/>
    </w:p>
    <w:p w:rsidR="00C865BB" w:rsidRDefault="00C865BB" w:rsidP="007155D7">
      <w:pPr>
        <w:pStyle w:val="PargrafodaLista"/>
        <w:numPr>
          <w:ilvl w:val="0"/>
          <w:numId w:val="21"/>
        </w:numPr>
        <w:spacing w:after="360" w:line="240" w:lineRule="auto"/>
        <w:ind w:left="142" w:right="-488" w:hanging="142"/>
        <w:contextualSpacing w:val="0"/>
        <w:jc w:val="both"/>
        <w:rPr>
          <w:rFonts w:ascii="Tahoma" w:hAnsi="Tahoma" w:cs="Tahoma"/>
          <w:sz w:val="24"/>
          <w:szCs w:val="24"/>
        </w:rPr>
      </w:pPr>
      <w:bookmarkStart w:id="32" w:name="_Toc428563682"/>
      <w:r w:rsidRPr="005221E5">
        <w:rPr>
          <w:rFonts w:ascii="Tahoma" w:hAnsi="Tahoma" w:cs="Tahoma"/>
          <w:sz w:val="24"/>
          <w:szCs w:val="24"/>
        </w:rPr>
        <w:t xml:space="preserve">Em 2016, prevê-se que os constrangimentos a nível da oferta de divisas no mercado se agravem, tendo em conta as projecções do preço do petróleo, que apontam para cotações inferiores às verificadas em 2015. </w:t>
      </w:r>
    </w:p>
    <w:p w:rsidR="00C865BB" w:rsidRDefault="00C865BB" w:rsidP="007155D7">
      <w:pPr>
        <w:pStyle w:val="PargrafodaLista"/>
        <w:numPr>
          <w:ilvl w:val="0"/>
          <w:numId w:val="21"/>
        </w:numPr>
        <w:spacing w:after="360" w:line="240" w:lineRule="auto"/>
        <w:ind w:left="142" w:right="-488" w:hanging="142"/>
        <w:contextualSpacing w:val="0"/>
        <w:jc w:val="both"/>
        <w:rPr>
          <w:rFonts w:ascii="Tahoma" w:hAnsi="Tahoma" w:cs="Tahoma"/>
          <w:sz w:val="24"/>
          <w:szCs w:val="24"/>
        </w:rPr>
      </w:pPr>
      <w:r w:rsidRPr="00437028">
        <w:rPr>
          <w:rFonts w:ascii="Tahoma" w:hAnsi="Tahoma" w:cs="Tahoma"/>
          <w:sz w:val="24"/>
          <w:szCs w:val="24"/>
        </w:rPr>
        <w:t>Se em 2014 as divisas vendidas aos Bancos Comerciais cobriam as importações de bens em serviços</w:t>
      </w:r>
      <w:r w:rsidRPr="00897D20">
        <w:rPr>
          <w:rFonts w:ascii="Tahoma" w:hAnsi="Tahoma" w:cs="Tahoma"/>
          <w:sz w:val="24"/>
          <w:szCs w:val="24"/>
        </w:rPr>
        <w:t xml:space="preserve"> </w:t>
      </w:r>
      <w:r w:rsidRPr="00437028">
        <w:rPr>
          <w:rFonts w:ascii="Tahoma" w:hAnsi="Tahoma" w:cs="Tahoma"/>
          <w:sz w:val="24"/>
          <w:szCs w:val="24"/>
        </w:rPr>
        <w:t xml:space="preserve">em 107%, as projecções para 2016 apontam para uma cobertura de apenas 63%. Por outro lado, o diferencial entre o montante de divisas comprado pelo BNA e vendido aos Bancos comerciais está projectado em USD 4.618 milhões, o que </w:t>
      </w:r>
      <w:r>
        <w:rPr>
          <w:rFonts w:ascii="Tahoma" w:hAnsi="Tahoma" w:cs="Tahoma"/>
          <w:sz w:val="24"/>
          <w:szCs w:val="24"/>
        </w:rPr>
        <w:t>poderá implicar</w:t>
      </w:r>
      <w:r w:rsidRPr="00437028">
        <w:rPr>
          <w:rFonts w:ascii="Tahoma" w:hAnsi="Tahoma" w:cs="Tahoma"/>
          <w:sz w:val="24"/>
          <w:szCs w:val="24"/>
        </w:rPr>
        <w:t xml:space="preserve"> uma perda de reservas internacionais em montante idêntico.</w:t>
      </w:r>
    </w:p>
    <w:p w:rsidR="00C865BB" w:rsidRPr="002502CD" w:rsidRDefault="00C865BB" w:rsidP="007155D7">
      <w:pPr>
        <w:pStyle w:val="PargrafodaLista"/>
        <w:numPr>
          <w:ilvl w:val="0"/>
          <w:numId w:val="21"/>
        </w:numPr>
        <w:spacing w:after="360" w:line="240" w:lineRule="auto"/>
        <w:ind w:left="142" w:right="-488" w:hanging="142"/>
        <w:contextualSpacing w:val="0"/>
        <w:jc w:val="both"/>
        <w:rPr>
          <w:rFonts w:ascii="Tahoma" w:hAnsi="Tahoma" w:cs="Tahoma"/>
          <w:sz w:val="24"/>
          <w:szCs w:val="24"/>
        </w:rPr>
      </w:pPr>
      <w:r>
        <w:rPr>
          <w:rFonts w:ascii="Tahoma" w:hAnsi="Tahoma" w:cs="Tahoma"/>
          <w:sz w:val="24"/>
          <w:szCs w:val="24"/>
        </w:rPr>
        <w:t>N</w:t>
      </w:r>
      <w:r w:rsidRPr="00787B5F">
        <w:rPr>
          <w:rFonts w:ascii="Tahoma" w:hAnsi="Tahoma" w:cs="Tahoma"/>
          <w:sz w:val="24"/>
          <w:szCs w:val="24"/>
        </w:rPr>
        <w:t xml:space="preserve">a base das projecções para o ano de 2016 do preço do petróleo e as entradas esperadas de divisas, </w:t>
      </w:r>
      <w:r>
        <w:rPr>
          <w:rFonts w:ascii="Tahoma" w:hAnsi="Tahoma" w:cs="Tahoma"/>
          <w:sz w:val="24"/>
          <w:szCs w:val="24"/>
        </w:rPr>
        <w:t xml:space="preserve">entende-se que </w:t>
      </w:r>
      <w:r w:rsidRPr="00787B5F">
        <w:rPr>
          <w:rFonts w:ascii="Tahoma" w:hAnsi="Tahoma" w:cs="Tahoma"/>
          <w:sz w:val="24"/>
          <w:szCs w:val="24"/>
        </w:rPr>
        <w:t>a política cambial continuará a ser gerid</w:t>
      </w:r>
      <w:r>
        <w:rPr>
          <w:rFonts w:ascii="Tahoma" w:hAnsi="Tahoma" w:cs="Tahoma"/>
          <w:sz w:val="24"/>
          <w:szCs w:val="24"/>
        </w:rPr>
        <w:t>a</w:t>
      </w:r>
      <w:r w:rsidRPr="00787B5F">
        <w:rPr>
          <w:rFonts w:ascii="Tahoma" w:hAnsi="Tahoma" w:cs="Tahoma"/>
          <w:sz w:val="24"/>
          <w:szCs w:val="24"/>
        </w:rPr>
        <w:t xml:space="preserve"> no mesmo regime cambial </w:t>
      </w:r>
      <w:r>
        <w:rPr>
          <w:rFonts w:ascii="Tahoma" w:hAnsi="Tahoma" w:cs="Tahoma"/>
          <w:sz w:val="24"/>
          <w:szCs w:val="24"/>
        </w:rPr>
        <w:t>que em</w:t>
      </w:r>
      <w:r w:rsidRPr="00787B5F">
        <w:rPr>
          <w:rFonts w:ascii="Tahoma" w:hAnsi="Tahoma" w:cs="Tahoma"/>
          <w:sz w:val="24"/>
          <w:szCs w:val="24"/>
        </w:rPr>
        <w:t xml:space="preserve"> 2015 (Taxa de Câmbio Flexível Controlada) assente nos seguintes </w:t>
      </w:r>
      <w:r w:rsidRPr="002502CD">
        <w:rPr>
          <w:rFonts w:ascii="Tahoma" w:hAnsi="Tahoma" w:cs="Tahoma"/>
          <w:sz w:val="24"/>
          <w:szCs w:val="24"/>
        </w:rPr>
        <w:t>pressupostos:</w:t>
      </w:r>
    </w:p>
    <w:p w:rsidR="00C865BB" w:rsidRDefault="00C865BB" w:rsidP="00872086">
      <w:pPr>
        <w:pStyle w:val="PargrafodaLista"/>
        <w:numPr>
          <w:ilvl w:val="0"/>
          <w:numId w:val="32"/>
        </w:numPr>
        <w:spacing w:after="120" w:line="240" w:lineRule="auto"/>
        <w:ind w:right="-488"/>
        <w:contextualSpacing w:val="0"/>
        <w:jc w:val="both"/>
        <w:rPr>
          <w:rFonts w:ascii="Tahoma" w:hAnsi="Tahoma" w:cs="Tahoma"/>
          <w:sz w:val="24"/>
          <w:szCs w:val="24"/>
        </w:rPr>
      </w:pPr>
      <w:r w:rsidRPr="002502CD">
        <w:rPr>
          <w:rFonts w:ascii="Tahoma" w:hAnsi="Tahoma" w:cs="Tahoma"/>
          <w:sz w:val="24"/>
          <w:szCs w:val="24"/>
        </w:rPr>
        <w:t>Afinação das decisões de política cambial com as decisões de política monetária e de política fiscal visando um controlo adequado da liquidez que minore a pressão sobre a taxa de câmbio e o acesso aos cambiais;</w:t>
      </w:r>
    </w:p>
    <w:p w:rsidR="00C865BB" w:rsidRDefault="00C865BB" w:rsidP="00872086">
      <w:pPr>
        <w:pStyle w:val="PargrafodaLista"/>
        <w:numPr>
          <w:ilvl w:val="0"/>
          <w:numId w:val="32"/>
        </w:numPr>
        <w:spacing w:after="120" w:line="240" w:lineRule="auto"/>
        <w:ind w:right="-488"/>
        <w:contextualSpacing w:val="0"/>
        <w:jc w:val="both"/>
        <w:rPr>
          <w:rFonts w:ascii="Tahoma" w:hAnsi="Tahoma" w:cs="Tahoma"/>
          <w:sz w:val="24"/>
          <w:szCs w:val="24"/>
        </w:rPr>
      </w:pPr>
      <w:r w:rsidRPr="00872086">
        <w:rPr>
          <w:rFonts w:ascii="Tahoma" w:hAnsi="Tahoma" w:cs="Tahoma"/>
          <w:sz w:val="24"/>
          <w:szCs w:val="24"/>
        </w:rPr>
        <w:t>Flexibilização da taxa de câmbio visando alcançar uma taxa de câmbio de equilíbrio, ajustando sempre que necessário a taxa de câmbio em função da oferta e procura de moeda externa de forma a garantir recursos suficientes para manter um nível de reservas internacionais que assegure um rácio de cobertura entre 5 a 6 meses de importação;</w:t>
      </w:r>
    </w:p>
    <w:p w:rsidR="008D680F" w:rsidRPr="000B1190" w:rsidRDefault="00C865BB" w:rsidP="008D680F">
      <w:pPr>
        <w:pStyle w:val="PargrafodaLista"/>
        <w:numPr>
          <w:ilvl w:val="0"/>
          <w:numId w:val="32"/>
        </w:numPr>
        <w:spacing w:after="120" w:line="240" w:lineRule="auto"/>
        <w:ind w:right="-488"/>
        <w:contextualSpacing w:val="0"/>
        <w:jc w:val="both"/>
        <w:rPr>
          <w:rFonts w:ascii="Tahoma" w:hAnsi="Tahoma" w:cs="Tahoma"/>
          <w:sz w:val="24"/>
          <w:szCs w:val="24"/>
        </w:rPr>
      </w:pPr>
      <w:r w:rsidRPr="00872086">
        <w:rPr>
          <w:rFonts w:ascii="Tahoma" w:hAnsi="Tahoma" w:cs="Tahoma"/>
          <w:sz w:val="24"/>
          <w:szCs w:val="24"/>
        </w:rPr>
        <w:t>Priorização da venda de divisas visando: (i) garantir a manutenção do emprego (matérias primas e outros insumos, equipamento e peças de reposição, salários de técnicos especialistas e operações do sector petrolífero); (ii) a contenção da inflação (bens alimentares e outros de consumo corrente de primeira necessidade e combustíveis); (iii) a saúde e a educação das populações (medicamentos, livros, material escolar e salários de médicos e professores estrangeiros); e (iv) a realização de despesas prioritárias d</w:t>
      </w:r>
      <w:r w:rsidR="000B1190">
        <w:rPr>
          <w:rFonts w:ascii="Tahoma" w:hAnsi="Tahoma" w:cs="Tahoma"/>
          <w:sz w:val="24"/>
          <w:szCs w:val="24"/>
        </w:rPr>
        <w:t>o estado (operações inadiáveis).</w:t>
      </w:r>
    </w:p>
    <w:p w:rsidR="00C865BB" w:rsidRPr="00E025E3" w:rsidRDefault="00C865BB" w:rsidP="00C865BB">
      <w:pPr>
        <w:pStyle w:val="PargrafodaLista"/>
        <w:numPr>
          <w:ilvl w:val="2"/>
          <w:numId w:val="16"/>
        </w:numPr>
        <w:spacing w:after="120" w:line="480" w:lineRule="auto"/>
        <w:ind w:left="142" w:hanging="142"/>
        <w:outlineLvl w:val="1"/>
        <w:rPr>
          <w:rFonts w:ascii="Tahoma" w:eastAsia="Trebuchet MS" w:hAnsi="Tahoma" w:cs="Tahoma"/>
          <w:b/>
          <w:sz w:val="28"/>
          <w:szCs w:val="32"/>
          <w:lang w:eastAsia="ja-JP"/>
        </w:rPr>
      </w:pPr>
      <w:bookmarkStart w:id="33" w:name="_Toc440657395"/>
      <w:r w:rsidRPr="00E025E3">
        <w:rPr>
          <w:rFonts w:ascii="Tahoma" w:eastAsia="Trebuchet MS" w:hAnsi="Tahoma" w:cs="Tahoma"/>
          <w:b/>
          <w:sz w:val="28"/>
          <w:szCs w:val="32"/>
          <w:lang w:eastAsia="ja-JP"/>
        </w:rPr>
        <w:lastRenderedPageBreak/>
        <w:t>Política Monetária</w:t>
      </w:r>
      <w:bookmarkEnd w:id="32"/>
      <w:bookmarkEnd w:id="33"/>
    </w:p>
    <w:p w:rsidR="00C865BB" w:rsidRDefault="00C865BB" w:rsidP="007155D7">
      <w:pPr>
        <w:pStyle w:val="PargrafodaLista"/>
        <w:numPr>
          <w:ilvl w:val="0"/>
          <w:numId w:val="21"/>
        </w:numPr>
        <w:spacing w:after="120" w:line="240" w:lineRule="auto"/>
        <w:ind w:left="142" w:right="-488" w:hanging="142"/>
        <w:contextualSpacing w:val="0"/>
        <w:jc w:val="both"/>
        <w:rPr>
          <w:rFonts w:ascii="Tahoma" w:eastAsia="Cambria" w:hAnsi="Tahoma" w:cs="Times New Roman"/>
          <w:sz w:val="24"/>
          <w:szCs w:val="24"/>
        </w:rPr>
      </w:pPr>
      <w:r>
        <w:rPr>
          <w:rFonts w:ascii="Tahoma" w:eastAsia="Cambria" w:hAnsi="Tahoma" w:cs="Times New Roman"/>
          <w:sz w:val="24"/>
          <w:szCs w:val="24"/>
        </w:rPr>
        <w:t xml:space="preserve">Uma atenção especial vai ser dada </w:t>
      </w:r>
      <w:r w:rsidRPr="001940BD">
        <w:rPr>
          <w:rFonts w:ascii="Tahoma" w:eastAsia="Cambria" w:hAnsi="Tahoma" w:cs="Times New Roman"/>
          <w:sz w:val="24"/>
          <w:szCs w:val="24"/>
        </w:rPr>
        <w:t xml:space="preserve"> à concessão de crédito a</w:t>
      </w:r>
      <w:r>
        <w:rPr>
          <w:rFonts w:ascii="Tahoma" w:eastAsia="Cambria" w:hAnsi="Tahoma" w:cs="Times New Roman"/>
          <w:sz w:val="24"/>
          <w:szCs w:val="24"/>
        </w:rPr>
        <w:t xml:space="preserve">o sector produtivo, pelo que o BNA deve actuar no sentido de incentivar os bancos comerciais nesse sentido. </w:t>
      </w:r>
    </w:p>
    <w:p w:rsidR="00C865BB" w:rsidRPr="007B4EE2" w:rsidRDefault="00C865BB" w:rsidP="007155D7">
      <w:pPr>
        <w:pStyle w:val="PargrafodaLista"/>
        <w:numPr>
          <w:ilvl w:val="0"/>
          <w:numId w:val="21"/>
        </w:numPr>
        <w:spacing w:after="120" w:line="240" w:lineRule="auto"/>
        <w:ind w:left="142" w:right="-488" w:hanging="142"/>
        <w:contextualSpacing w:val="0"/>
        <w:jc w:val="both"/>
        <w:rPr>
          <w:rFonts w:ascii="Tahoma" w:eastAsia="Cambria" w:hAnsi="Tahoma" w:cs="Times New Roman"/>
          <w:sz w:val="24"/>
          <w:szCs w:val="24"/>
        </w:rPr>
      </w:pPr>
      <w:r>
        <w:rPr>
          <w:rFonts w:ascii="Tahoma" w:eastAsia="Cambria" w:hAnsi="Tahoma" w:cs="Times New Roman"/>
          <w:sz w:val="24"/>
          <w:szCs w:val="24"/>
        </w:rPr>
        <w:t xml:space="preserve">Em geral, </w:t>
      </w:r>
      <w:r w:rsidRPr="007B4EE2">
        <w:rPr>
          <w:rFonts w:ascii="Tahoma" w:eastAsia="Cambria" w:hAnsi="Tahoma" w:cs="Times New Roman"/>
          <w:sz w:val="24"/>
          <w:szCs w:val="24"/>
        </w:rPr>
        <w:t xml:space="preserve"> o BNA </w:t>
      </w:r>
      <w:r>
        <w:rPr>
          <w:rFonts w:ascii="Tahoma" w:eastAsia="Cambria" w:hAnsi="Tahoma" w:cs="Times New Roman"/>
          <w:sz w:val="24"/>
          <w:szCs w:val="24"/>
        </w:rPr>
        <w:t xml:space="preserve">vai </w:t>
      </w:r>
      <w:r w:rsidRPr="007B4EE2">
        <w:rPr>
          <w:rFonts w:ascii="Tahoma" w:eastAsia="Cambria" w:hAnsi="Tahoma" w:cs="Times New Roman"/>
          <w:sz w:val="24"/>
          <w:szCs w:val="24"/>
        </w:rPr>
        <w:t xml:space="preserve"> adoptar medidas de Política monetária flexíveis, intercalando momentos</w:t>
      </w:r>
      <w:r>
        <w:rPr>
          <w:rFonts w:ascii="Tahoma" w:eastAsia="Cambria" w:hAnsi="Tahoma" w:cs="Times New Roman"/>
          <w:sz w:val="24"/>
          <w:szCs w:val="24"/>
        </w:rPr>
        <w:t xml:space="preserve"> de expansão e contracção, de forma</w:t>
      </w:r>
      <w:r w:rsidRPr="007B4EE2">
        <w:rPr>
          <w:rFonts w:ascii="Tahoma" w:eastAsia="Cambria" w:hAnsi="Tahoma" w:cs="Times New Roman"/>
          <w:sz w:val="24"/>
          <w:szCs w:val="24"/>
        </w:rPr>
        <w:t xml:space="preserve"> a assegurar</w:t>
      </w:r>
      <w:r>
        <w:rPr>
          <w:rFonts w:ascii="Tahoma" w:eastAsia="Cambria" w:hAnsi="Tahoma" w:cs="Times New Roman"/>
          <w:sz w:val="24"/>
          <w:szCs w:val="24"/>
        </w:rPr>
        <w:t xml:space="preserve"> que</w:t>
      </w:r>
      <w:r w:rsidRPr="007B4EE2">
        <w:rPr>
          <w:rFonts w:ascii="Tahoma" w:eastAsia="Cambria" w:hAnsi="Tahoma" w:cs="Times New Roman"/>
          <w:sz w:val="24"/>
          <w:szCs w:val="24"/>
        </w:rPr>
        <w:t xml:space="preserve">: </w:t>
      </w:r>
    </w:p>
    <w:p w:rsidR="00C865BB" w:rsidRPr="00DD5B70" w:rsidRDefault="00C865BB" w:rsidP="00C865BB">
      <w:pPr>
        <w:pStyle w:val="PargrafodaLista"/>
        <w:numPr>
          <w:ilvl w:val="0"/>
          <w:numId w:val="15"/>
        </w:numPr>
        <w:shd w:val="clear" w:color="auto" w:fill="FFFFFF"/>
        <w:tabs>
          <w:tab w:val="left" w:pos="426"/>
        </w:tabs>
        <w:spacing w:after="120" w:line="240" w:lineRule="auto"/>
        <w:ind w:left="142" w:hanging="142"/>
        <w:contextualSpacing w:val="0"/>
        <w:jc w:val="both"/>
        <w:rPr>
          <w:rFonts w:ascii="Tahoma" w:eastAsia="Cambria" w:hAnsi="Tahoma" w:cs="Times New Roman"/>
          <w:sz w:val="24"/>
          <w:szCs w:val="24"/>
        </w:rPr>
      </w:pPr>
      <w:r w:rsidRPr="00DD5B70">
        <w:rPr>
          <w:rFonts w:ascii="Tahoma" w:eastAsia="Cambria" w:hAnsi="Tahoma" w:cs="Times New Roman"/>
          <w:sz w:val="24"/>
          <w:szCs w:val="24"/>
        </w:rPr>
        <w:t>a Base Monetária varie dentro dos níveis programados;</w:t>
      </w:r>
    </w:p>
    <w:p w:rsidR="00C865BB" w:rsidRPr="00A133B4" w:rsidRDefault="00C865BB" w:rsidP="00C865BB">
      <w:pPr>
        <w:pStyle w:val="PargrafodaLista"/>
        <w:numPr>
          <w:ilvl w:val="0"/>
          <w:numId w:val="15"/>
        </w:numPr>
        <w:shd w:val="clear" w:color="auto" w:fill="FFFFFF"/>
        <w:tabs>
          <w:tab w:val="left" w:pos="426"/>
        </w:tabs>
        <w:spacing w:after="120" w:line="240" w:lineRule="auto"/>
        <w:ind w:left="142" w:hanging="142"/>
        <w:contextualSpacing w:val="0"/>
        <w:jc w:val="both"/>
        <w:rPr>
          <w:rFonts w:ascii="Tahoma" w:eastAsia="Cambria" w:hAnsi="Tahoma" w:cs="Times New Roman"/>
          <w:sz w:val="24"/>
          <w:szCs w:val="24"/>
        </w:rPr>
      </w:pPr>
      <w:r w:rsidRPr="00DD5B70">
        <w:rPr>
          <w:rFonts w:ascii="Tahoma" w:eastAsia="Cambria" w:hAnsi="Tahoma" w:cs="Times New Roman"/>
          <w:sz w:val="24"/>
          <w:szCs w:val="24"/>
        </w:rPr>
        <w:t xml:space="preserve">se atinja o objectivo de inflação, estabelecido pelo executivo. </w:t>
      </w:r>
    </w:p>
    <w:p w:rsidR="00C865BB" w:rsidRDefault="00C865BB" w:rsidP="007155D7">
      <w:pPr>
        <w:pStyle w:val="PargrafodaLista"/>
        <w:numPr>
          <w:ilvl w:val="0"/>
          <w:numId w:val="21"/>
        </w:numPr>
        <w:spacing w:after="240" w:line="240" w:lineRule="auto"/>
        <w:ind w:left="142" w:right="-488" w:hanging="142"/>
        <w:contextualSpacing w:val="0"/>
        <w:jc w:val="both"/>
      </w:pPr>
      <w:r>
        <w:rPr>
          <w:rFonts w:ascii="Tahoma" w:eastAsia="Cambria" w:hAnsi="Tahoma" w:cs="Times New Roman"/>
          <w:sz w:val="24"/>
          <w:szCs w:val="24"/>
        </w:rPr>
        <w:t>No monitoramento d</w:t>
      </w:r>
      <w:r w:rsidRPr="00621D0C">
        <w:rPr>
          <w:rFonts w:ascii="Tahoma" w:eastAsia="Cambria" w:hAnsi="Tahoma" w:cs="Times New Roman"/>
          <w:sz w:val="24"/>
          <w:szCs w:val="24"/>
        </w:rPr>
        <w:t>a liquidez do sistema bancário</w:t>
      </w:r>
      <w:r w:rsidRPr="00A133B4">
        <w:rPr>
          <w:rFonts w:ascii="Tahoma" w:eastAsia="Cambria" w:hAnsi="Tahoma" w:cs="Times New Roman"/>
          <w:sz w:val="24"/>
          <w:szCs w:val="24"/>
        </w:rPr>
        <w:t xml:space="preserve"> </w:t>
      </w:r>
      <w:r>
        <w:rPr>
          <w:rFonts w:ascii="Tahoma" w:eastAsia="Cambria" w:hAnsi="Tahoma" w:cs="Times New Roman"/>
          <w:sz w:val="24"/>
          <w:szCs w:val="24"/>
        </w:rPr>
        <w:t xml:space="preserve">e de forma a minorar o impacto sobre a inflação, especial atenção será prestada aos Bancos Comerciais com dificuldades de liquidez que necessitam de ser reestruturados e que recorrem de forma persistente ao Redesconto. </w:t>
      </w:r>
    </w:p>
    <w:p w:rsidR="00C865BB" w:rsidRPr="00AD2EB9" w:rsidRDefault="00C865BB" w:rsidP="00C865BB">
      <w:pPr>
        <w:pStyle w:val="PargrafodaLista"/>
        <w:numPr>
          <w:ilvl w:val="1"/>
          <w:numId w:val="16"/>
        </w:numPr>
        <w:spacing w:after="120" w:line="480" w:lineRule="auto"/>
        <w:ind w:left="142" w:hanging="142"/>
        <w:outlineLvl w:val="1"/>
        <w:rPr>
          <w:rFonts w:ascii="Tahoma" w:eastAsia="Trebuchet MS" w:hAnsi="Tahoma" w:cs="Tahoma"/>
          <w:b/>
          <w:sz w:val="28"/>
          <w:szCs w:val="32"/>
          <w:lang w:eastAsia="ja-JP"/>
        </w:rPr>
      </w:pPr>
      <w:bookmarkStart w:id="34" w:name="_Toc440657396"/>
      <w:r w:rsidRPr="00AD2EB9">
        <w:rPr>
          <w:rFonts w:ascii="Tahoma" w:eastAsia="Trebuchet MS" w:hAnsi="Tahoma" w:cs="Tahoma"/>
          <w:b/>
          <w:sz w:val="28"/>
          <w:szCs w:val="32"/>
          <w:lang w:eastAsia="ja-JP"/>
        </w:rPr>
        <w:t>Racionalização da Importação de Bens e Serviços</w:t>
      </w:r>
      <w:bookmarkEnd w:id="34"/>
    </w:p>
    <w:p w:rsidR="00C865BB" w:rsidRPr="00AD2EB9"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 xml:space="preserve">Nos últimos três anos Angola tem importado em mercadorias </w:t>
      </w:r>
      <w:r w:rsidR="00872086">
        <w:rPr>
          <w:rFonts w:ascii="Tahoma" w:hAnsi="Tahoma" w:cs="Tahoma"/>
          <w:sz w:val="24"/>
          <w:szCs w:val="24"/>
        </w:rPr>
        <w:t xml:space="preserve">um valor médio anual de </w:t>
      </w:r>
      <w:r w:rsidRPr="00AD2EB9">
        <w:rPr>
          <w:rFonts w:ascii="Tahoma" w:hAnsi="Tahoma" w:cs="Tahoma"/>
          <w:sz w:val="24"/>
          <w:szCs w:val="24"/>
        </w:rPr>
        <w:t xml:space="preserve">  USD 26 Bilhões nas rubricas de bens de consumo corrente, bens de consumo intermédio e bens de capital</w:t>
      </w:r>
      <w:r>
        <w:rPr>
          <w:rFonts w:ascii="Tahoma" w:hAnsi="Tahoma" w:cs="Tahoma"/>
          <w:sz w:val="24"/>
          <w:szCs w:val="24"/>
        </w:rPr>
        <w:t>.</w:t>
      </w:r>
    </w:p>
    <w:p w:rsidR="00C865BB" w:rsidRPr="00AD2EB9"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 xml:space="preserve">As categorias que mais contribuíram para a composição da conta de bens são os combustíveis e alimentos que perfizeram 16,67% e 14,08%, respectivamente, em 2014 </w:t>
      </w:r>
      <w:r w:rsidR="008D680F">
        <w:rPr>
          <w:rFonts w:ascii="Tahoma" w:hAnsi="Tahoma" w:cs="Tahoma"/>
          <w:sz w:val="24"/>
          <w:szCs w:val="24"/>
        </w:rPr>
        <w:t xml:space="preserve">com </w:t>
      </w:r>
      <w:r w:rsidRPr="00AD2EB9">
        <w:rPr>
          <w:rFonts w:ascii="Tahoma" w:hAnsi="Tahoma" w:cs="Tahoma"/>
          <w:sz w:val="24"/>
          <w:szCs w:val="24"/>
        </w:rPr>
        <w:t>tendência consistente nos anos anteriores.</w:t>
      </w:r>
    </w:p>
    <w:p w:rsidR="00C865BB" w:rsidRPr="00AD2EB9"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AD2EB9">
        <w:rPr>
          <w:rFonts w:ascii="Tahoma" w:hAnsi="Tahoma" w:cs="Tahoma"/>
          <w:sz w:val="24"/>
          <w:szCs w:val="24"/>
        </w:rPr>
        <w:t>Nos últimos anos, as importações de bens em Angola têm crescido a uma taxa média de 10%, enquanto as exportações de mercadorias têm crescido a taxas negativas, provocando uma redução do superavit da balança comercial (conta de bens).</w:t>
      </w:r>
    </w:p>
    <w:p w:rsidR="00C865BB" w:rsidRPr="003D0040" w:rsidRDefault="00C865BB" w:rsidP="003D0040">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No que respeita a conta de Serviços,  o</w:t>
      </w:r>
      <w:r w:rsidRPr="00AD2EB9">
        <w:rPr>
          <w:rFonts w:ascii="Tahoma" w:hAnsi="Tahoma" w:cs="Tahoma"/>
          <w:sz w:val="24"/>
          <w:szCs w:val="24"/>
        </w:rPr>
        <w:t xml:space="preserve">s serviços de construção, </w:t>
      </w:r>
      <w:r>
        <w:rPr>
          <w:rFonts w:ascii="Tahoma" w:hAnsi="Tahoma" w:cs="Tahoma"/>
          <w:sz w:val="24"/>
          <w:szCs w:val="24"/>
        </w:rPr>
        <w:t xml:space="preserve">de </w:t>
      </w:r>
      <w:r w:rsidRPr="00AD2EB9">
        <w:rPr>
          <w:rFonts w:ascii="Tahoma" w:hAnsi="Tahoma" w:cs="Tahoma"/>
          <w:sz w:val="24"/>
          <w:szCs w:val="24"/>
        </w:rPr>
        <w:t xml:space="preserve">seguros e </w:t>
      </w:r>
      <w:r>
        <w:rPr>
          <w:rFonts w:ascii="Tahoma" w:hAnsi="Tahoma" w:cs="Tahoma"/>
          <w:sz w:val="24"/>
          <w:szCs w:val="24"/>
        </w:rPr>
        <w:t xml:space="preserve">de </w:t>
      </w:r>
      <w:r w:rsidRPr="00AD2EB9">
        <w:rPr>
          <w:rFonts w:ascii="Tahoma" w:hAnsi="Tahoma" w:cs="Tahoma"/>
          <w:sz w:val="24"/>
          <w:szCs w:val="24"/>
        </w:rPr>
        <w:t>assistência técnica, particularmente ao sector petrolífero, serviços especializados ao governo e transportes e viagens têm representado o maior peso no total de pagamentos de serviços ao exterior – 23.546 Bilhões de USD</w:t>
      </w:r>
      <w:r>
        <w:rPr>
          <w:rFonts w:ascii="Tahoma" w:hAnsi="Tahoma" w:cs="Tahoma"/>
          <w:sz w:val="24"/>
          <w:szCs w:val="24"/>
        </w:rPr>
        <w:t>.</w:t>
      </w:r>
    </w:p>
    <w:p w:rsidR="00C865BB" w:rsidRPr="00AD2EB9"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D</w:t>
      </w:r>
      <w:r w:rsidRPr="00AD2EB9">
        <w:rPr>
          <w:rFonts w:ascii="Tahoma" w:hAnsi="Tahoma" w:cs="Tahoma"/>
          <w:sz w:val="24"/>
          <w:szCs w:val="24"/>
        </w:rPr>
        <w:t xml:space="preserve">esencorajar a importação de bens de consumo corrente passa pela definição de uma política cambial que torne a produção nacional competitiva, fomente o investimento e funcione como um instrumento corrector dos desequilíbrios da balança de pagamentos. Assinale-se que a depreciação da moeda nacional produz um efeito benéfico sobre as exportações penalizando ao mesmo tempo as importações que se tornam mais caras. </w:t>
      </w:r>
    </w:p>
    <w:p w:rsidR="00C865BB" w:rsidRPr="00E544DF"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E544DF">
        <w:rPr>
          <w:rFonts w:ascii="Tahoma" w:hAnsi="Tahoma" w:cs="Tahoma"/>
          <w:sz w:val="24"/>
          <w:szCs w:val="24"/>
        </w:rPr>
        <w:t>A nível fiscal será primordial conduzir uma gestão que desincentive a importação de bens e serviços não prioritários por parte dos grandes consumidores públicos.</w:t>
      </w:r>
    </w:p>
    <w:p w:rsidR="008D680F" w:rsidRDefault="00C865BB" w:rsidP="003D0040">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 xml:space="preserve">Devem-se tomar medidas para que os  </w:t>
      </w:r>
      <w:r w:rsidRPr="00AD2EB9">
        <w:rPr>
          <w:rFonts w:ascii="Tahoma" w:hAnsi="Tahoma" w:cs="Tahoma"/>
          <w:sz w:val="24"/>
          <w:szCs w:val="24"/>
        </w:rPr>
        <w:t xml:space="preserve">preços de importação de combustíveis </w:t>
      </w:r>
      <w:r>
        <w:rPr>
          <w:rFonts w:ascii="Tahoma" w:hAnsi="Tahoma" w:cs="Tahoma"/>
          <w:sz w:val="24"/>
          <w:szCs w:val="24"/>
        </w:rPr>
        <w:t xml:space="preserve">sejam </w:t>
      </w:r>
      <w:r w:rsidRPr="00AD2EB9">
        <w:rPr>
          <w:rFonts w:ascii="Tahoma" w:hAnsi="Tahoma" w:cs="Tahoma"/>
          <w:sz w:val="24"/>
          <w:szCs w:val="24"/>
        </w:rPr>
        <w:t xml:space="preserve"> aproximados ao</w:t>
      </w:r>
      <w:r>
        <w:rPr>
          <w:rFonts w:ascii="Tahoma" w:hAnsi="Tahoma" w:cs="Tahoma"/>
          <w:sz w:val="24"/>
          <w:szCs w:val="24"/>
        </w:rPr>
        <w:t>s preços de referência</w:t>
      </w:r>
      <w:r w:rsidRPr="00AD2EB9">
        <w:rPr>
          <w:rFonts w:ascii="Tahoma" w:hAnsi="Tahoma" w:cs="Tahoma"/>
          <w:sz w:val="24"/>
          <w:szCs w:val="24"/>
        </w:rPr>
        <w:t xml:space="preserve"> internacional.</w:t>
      </w:r>
    </w:p>
    <w:p w:rsidR="000B1190" w:rsidRDefault="000B1190" w:rsidP="000B1190">
      <w:pPr>
        <w:spacing w:after="120" w:line="240" w:lineRule="auto"/>
        <w:ind w:right="-488"/>
        <w:jc w:val="both"/>
        <w:rPr>
          <w:rFonts w:ascii="Tahoma" w:hAnsi="Tahoma" w:cs="Tahoma"/>
          <w:sz w:val="24"/>
          <w:szCs w:val="24"/>
        </w:rPr>
      </w:pPr>
    </w:p>
    <w:p w:rsidR="000B1190" w:rsidRDefault="000B1190" w:rsidP="000B1190">
      <w:pPr>
        <w:spacing w:after="120" w:line="240" w:lineRule="auto"/>
        <w:ind w:right="-488"/>
        <w:jc w:val="both"/>
        <w:rPr>
          <w:rFonts w:ascii="Tahoma" w:hAnsi="Tahoma" w:cs="Tahoma"/>
          <w:sz w:val="24"/>
          <w:szCs w:val="24"/>
        </w:rPr>
      </w:pPr>
    </w:p>
    <w:p w:rsidR="000B1190" w:rsidRPr="000B1190" w:rsidRDefault="000B1190" w:rsidP="000B1190">
      <w:pPr>
        <w:spacing w:after="120" w:line="240" w:lineRule="auto"/>
        <w:ind w:right="-488"/>
        <w:jc w:val="both"/>
        <w:rPr>
          <w:rFonts w:ascii="Tahoma" w:hAnsi="Tahoma" w:cs="Tahoma"/>
          <w:sz w:val="24"/>
          <w:szCs w:val="24"/>
        </w:rPr>
      </w:pPr>
    </w:p>
    <w:p w:rsidR="00C865BB" w:rsidRDefault="00C865BB" w:rsidP="00C865BB">
      <w:pPr>
        <w:pStyle w:val="PargrafodaLista"/>
        <w:numPr>
          <w:ilvl w:val="1"/>
          <w:numId w:val="16"/>
        </w:numPr>
        <w:spacing w:after="120" w:line="480" w:lineRule="auto"/>
        <w:ind w:left="142" w:hanging="142"/>
        <w:outlineLvl w:val="1"/>
        <w:rPr>
          <w:rFonts w:ascii="Tahoma" w:eastAsia="Trebuchet MS" w:hAnsi="Tahoma" w:cs="Tahoma"/>
          <w:b/>
          <w:sz w:val="28"/>
          <w:szCs w:val="32"/>
          <w:lang w:eastAsia="ja-JP"/>
        </w:rPr>
      </w:pPr>
      <w:bookmarkStart w:id="35" w:name="_Toc440657397"/>
      <w:r w:rsidRPr="00AD2EB9">
        <w:rPr>
          <w:rFonts w:ascii="Tahoma" w:eastAsia="Trebuchet MS" w:hAnsi="Tahoma" w:cs="Tahoma"/>
          <w:b/>
          <w:sz w:val="28"/>
          <w:szCs w:val="32"/>
          <w:lang w:eastAsia="ja-JP"/>
        </w:rPr>
        <w:lastRenderedPageBreak/>
        <w:t>Aumento da Produção Interna</w:t>
      </w:r>
      <w:bookmarkEnd w:id="35"/>
    </w:p>
    <w:p w:rsidR="00C865BB"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lang w:eastAsia="ja-JP"/>
        </w:rPr>
      </w:pPr>
      <w:r>
        <w:rPr>
          <w:rFonts w:ascii="Tahoma" w:hAnsi="Tahoma" w:cs="Tahoma"/>
          <w:sz w:val="24"/>
          <w:szCs w:val="24"/>
        </w:rPr>
        <w:t xml:space="preserve">A produção interna deve ser orientada, essencialmente, para o aumento das exportações não petrolíferas, </w:t>
      </w:r>
      <w:r w:rsidRPr="00482FBF">
        <w:rPr>
          <w:rFonts w:ascii="Tahoma" w:hAnsi="Tahoma" w:cs="Tahoma"/>
          <w:sz w:val="24"/>
          <w:szCs w:val="24"/>
        </w:rPr>
        <w:t>para</w:t>
      </w:r>
      <w:r w:rsidRPr="00F91EFD">
        <w:rPr>
          <w:rFonts w:ascii="Tahoma" w:hAnsi="Tahoma" w:cs="Tahoma"/>
          <w:color w:val="FF0000"/>
          <w:sz w:val="24"/>
          <w:szCs w:val="24"/>
        </w:rPr>
        <w:t xml:space="preserve"> </w:t>
      </w:r>
      <w:r>
        <w:rPr>
          <w:rFonts w:ascii="Tahoma" w:hAnsi="Tahoma" w:cs="Tahoma"/>
          <w:sz w:val="24"/>
          <w:szCs w:val="24"/>
        </w:rPr>
        <w:t>a substituição das importações de bens da cesta básica  e</w:t>
      </w:r>
      <w:r w:rsidRPr="00F91EFD">
        <w:rPr>
          <w:rFonts w:ascii="Tahoma" w:hAnsi="Tahoma" w:cs="Tahoma"/>
          <w:color w:val="00B050"/>
          <w:sz w:val="24"/>
          <w:szCs w:val="24"/>
        </w:rPr>
        <w:t xml:space="preserve"> </w:t>
      </w:r>
      <w:r w:rsidRPr="00872086">
        <w:rPr>
          <w:rFonts w:ascii="Tahoma" w:hAnsi="Tahoma" w:cs="Tahoma"/>
          <w:color w:val="00B050"/>
          <w:sz w:val="24"/>
          <w:szCs w:val="24"/>
          <w:highlight w:val="black"/>
        </w:rPr>
        <w:t>para a produção de</w:t>
      </w:r>
      <w:r>
        <w:rPr>
          <w:rFonts w:ascii="Tahoma" w:hAnsi="Tahoma" w:cs="Tahoma"/>
          <w:color w:val="00B050"/>
          <w:sz w:val="24"/>
          <w:szCs w:val="24"/>
        </w:rPr>
        <w:t xml:space="preserve"> </w:t>
      </w:r>
      <w:r>
        <w:rPr>
          <w:rFonts w:ascii="Tahoma" w:hAnsi="Tahoma" w:cs="Tahoma"/>
          <w:sz w:val="24"/>
          <w:szCs w:val="24"/>
        </w:rPr>
        <w:t>outros produtos essenciais quer para o consumo i</w:t>
      </w:r>
      <w:r w:rsidR="003D0040">
        <w:rPr>
          <w:rFonts w:ascii="Tahoma" w:hAnsi="Tahoma" w:cs="Tahoma"/>
          <w:sz w:val="24"/>
          <w:szCs w:val="24"/>
        </w:rPr>
        <w:t>nterno, quer para as exportações</w:t>
      </w:r>
      <w:r>
        <w:rPr>
          <w:rFonts w:ascii="Tahoma" w:hAnsi="Tahoma" w:cs="Tahoma"/>
          <w:sz w:val="24"/>
          <w:szCs w:val="24"/>
        </w:rPr>
        <w:t>.</w:t>
      </w:r>
    </w:p>
    <w:p w:rsidR="00C865BB" w:rsidRPr="003925A9" w:rsidRDefault="00C865BB" w:rsidP="00C865BB">
      <w:pPr>
        <w:pStyle w:val="PargrafodaLista"/>
        <w:numPr>
          <w:ilvl w:val="2"/>
          <w:numId w:val="16"/>
        </w:numPr>
        <w:spacing w:after="120" w:line="480" w:lineRule="auto"/>
        <w:ind w:left="142" w:hanging="142"/>
        <w:outlineLvl w:val="1"/>
        <w:rPr>
          <w:rFonts w:ascii="Tahoma" w:eastAsia="Trebuchet MS" w:hAnsi="Tahoma" w:cs="Tahoma"/>
          <w:b/>
          <w:sz w:val="24"/>
          <w:szCs w:val="24"/>
          <w:lang w:eastAsia="ja-JP"/>
        </w:rPr>
      </w:pPr>
      <w:r w:rsidRPr="003925A9">
        <w:rPr>
          <w:rFonts w:ascii="Tahoma" w:eastAsia="Trebuchet MS" w:hAnsi="Tahoma" w:cs="Tahoma"/>
          <w:b/>
          <w:sz w:val="24"/>
          <w:szCs w:val="24"/>
          <w:lang w:eastAsia="ja-JP"/>
        </w:rPr>
        <w:t xml:space="preserve"> </w:t>
      </w:r>
      <w:bookmarkStart w:id="36" w:name="_Toc440657398"/>
      <w:r w:rsidRPr="003925A9">
        <w:rPr>
          <w:rFonts w:ascii="Tahoma" w:eastAsia="Trebuchet MS" w:hAnsi="Tahoma" w:cs="Tahoma"/>
          <w:b/>
          <w:sz w:val="24"/>
          <w:szCs w:val="24"/>
          <w:lang w:eastAsia="ja-JP"/>
        </w:rPr>
        <w:t>Aumento da produção para a exportação</w:t>
      </w:r>
      <w:bookmarkEnd w:id="36"/>
    </w:p>
    <w:p w:rsidR="00C865BB"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Tal como referido acima , Angola tem potencial para a curto prazo exportar a uma escala considerável os seguintes produtos:</w:t>
      </w:r>
    </w:p>
    <w:p w:rsidR="00C865BB" w:rsidRDefault="00C865BB" w:rsidP="00C865BB">
      <w:pPr>
        <w:pStyle w:val="PargrafodaLista"/>
        <w:spacing w:after="120" w:line="240" w:lineRule="auto"/>
        <w:ind w:left="142" w:right="-488" w:hanging="142"/>
        <w:contextualSpacing w:val="0"/>
        <w:jc w:val="both"/>
        <w:rPr>
          <w:rFonts w:ascii="Tahoma" w:hAnsi="Tahoma" w:cs="Tahoma"/>
          <w:sz w:val="24"/>
          <w:szCs w:val="24"/>
        </w:rPr>
      </w:pP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AD2EB9">
        <w:rPr>
          <w:rFonts w:ascii="Tahoma" w:hAnsi="Tahoma" w:cs="Tahoma"/>
          <w:sz w:val="24"/>
          <w:szCs w:val="24"/>
        </w:rPr>
        <w:t>Rochas ornamentais;</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Cimento e outros materiais de construção;</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Café;</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Mel;</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Produtos da pesca (peixe, marisco e crustáceos) e derivados (farinha e óleo de peixe);</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Madeiras;</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Minério de ferro;</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Bebidas alcoólicas e não alcoólicas;</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Leguminosas oleaginosas;</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Hortícolas e tubérculos;</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Sal Iodizado;</w:t>
      </w:r>
    </w:p>
    <w:p w:rsidR="00C865BB" w:rsidRDefault="00C865BB" w:rsidP="00872086">
      <w:pPr>
        <w:pStyle w:val="PargrafodaLista"/>
        <w:numPr>
          <w:ilvl w:val="0"/>
          <w:numId w:val="33"/>
        </w:numPr>
        <w:spacing w:after="0" w:line="276" w:lineRule="auto"/>
        <w:jc w:val="both"/>
        <w:rPr>
          <w:rFonts w:ascii="Tahoma" w:hAnsi="Tahoma" w:cs="Tahoma"/>
          <w:sz w:val="24"/>
          <w:szCs w:val="24"/>
        </w:rPr>
      </w:pPr>
      <w:r w:rsidRPr="00872086">
        <w:rPr>
          <w:rFonts w:ascii="Tahoma" w:hAnsi="Tahoma" w:cs="Tahoma"/>
          <w:sz w:val="24"/>
          <w:szCs w:val="24"/>
        </w:rPr>
        <w:t>Serviços (transportes e telecomunicações).</w:t>
      </w:r>
    </w:p>
    <w:p w:rsidR="00872086" w:rsidRPr="00872086" w:rsidRDefault="00872086" w:rsidP="00872086">
      <w:pPr>
        <w:pStyle w:val="PargrafodaLista"/>
        <w:spacing w:after="0" w:line="276" w:lineRule="auto"/>
        <w:ind w:left="862"/>
        <w:jc w:val="both"/>
        <w:rPr>
          <w:rFonts w:ascii="Tahoma" w:hAnsi="Tahoma" w:cs="Tahoma"/>
          <w:sz w:val="24"/>
          <w:szCs w:val="24"/>
        </w:rPr>
      </w:pPr>
    </w:p>
    <w:p w:rsidR="00C865BB"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 xml:space="preserve">Com efeito, devem ser desenhados pelos respectivos sectores os Programas Dirigidos destes produtos,   traze-los para o circuito normal de exportação e garantir a entrada de cambiais no país. </w:t>
      </w:r>
    </w:p>
    <w:p w:rsidR="00C865BB" w:rsidRPr="006A02FA"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 xml:space="preserve">Os Programas Dirigidos para cada produto devem conter a visão, </w:t>
      </w:r>
      <w:r w:rsidR="008D680F">
        <w:rPr>
          <w:rFonts w:ascii="Tahoma" w:hAnsi="Tahoma" w:cs="Tahoma"/>
          <w:sz w:val="24"/>
          <w:szCs w:val="24"/>
        </w:rPr>
        <w:t xml:space="preserve">os </w:t>
      </w:r>
      <w:r>
        <w:rPr>
          <w:rFonts w:ascii="Tahoma" w:hAnsi="Tahoma" w:cs="Tahoma"/>
          <w:sz w:val="24"/>
          <w:szCs w:val="24"/>
        </w:rPr>
        <w:t xml:space="preserve">objectivos e metas, </w:t>
      </w:r>
      <w:r w:rsidR="008D680F">
        <w:rPr>
          <w:rFonts w:ascii="Tahoma" w:hAnsi="Tahoma" w:cs="Tahoma"/>
          <w:sz w:val="24"/>
          <w:szCs w:val="24"/>
        </w:rPr>
        <w:t xml:space="preserve">os </w:t>
      </w:r>
      <w:r>
        <w:rPr>
          <w:rFonts w:ascii="Tahoma" w:hAnsi="Tahoma" w:cs="Tahoma"/>
          <w:sz w:val="24"/>
          <w:szCs w:val="24"/>
        </w:rPr>
        <w:t>recursos a mobilizar e o princípio da angariação de parceiros internacionais com o asseguramento das facilidades migratórias requeridas.</w:t>
      </w:r>
    </w:p>
    <w:p w:rsidR="00C865BB" w:rsidRPr="006A02FA"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P</w:t>
      </w:r>
      <w:r w:rsidRPr="006A02FA">
        <w:rPr>
          <w:rFonts w:ascii="Tahoma" w:hAnsi="Tahoma" w:cs="Tahoma"/>
          <w:sz w:val="24"/>
          <w:szCs w:val="24"/>
        </w:rPr>
        <w:t>ara abreviar o processo de fomento à exportação podem ser exploradas parcerias com operadores internacionais de reconhecida competência, com modelos de parceria inovadores e atractivos ao investimento</w:t>
      </w:r>
      <w:r>
        <w:rPr>
          <w:rFonts w:ascii="Tahoma" w:hAnsi="Tahoma" w:cs="Tahoma"/>
          <w:sz w:val="24"/>
          <w:szCs w:val="24"/>
        </w:rPr>
        <w:t>,</w:t>
      </w:r>
      <w:r w:rsidRPr="006A02FA">
        <w:rPr>
          <w:rFonts w:ascii="Tahoma" w:hAnsi="Tahoma" w:cs="Tahoma"/>
          <w:sz w:val="24"/>
          <w:szCs w:val="24"/>
        </w:rPr>
        <w:t xml:space="preserve"> </w:t>
      </w:r>
      <w:r>
        <w:rPr>
          <w:rFonts w:ascii="Tahoma" w:hAnsi="Tahoma" w:cs="Tahoma"/>
          <w:sz w:val="24"/>
          <w:szCs w:val="24"/>
        </w:rPr>
        <w:t>à semelhança dos</w:t>
      </w:r>
      <w:r w:rsidRPr="006A02FA">
        <w:rPr>
          <w:rFonts w:ascii="Tahoma" w:hAnsi="Tahoma" w:cs="Tahoma"/>
          <w:sz w:val="24"/>
          <w:szCs w:val="24"/>
        </w:rPr>
        <w:t xml:space="preserve"> contrato</w:t>
      </w:r>
      <w:r>
        <w:rPr>
          <w:rFonts w:ascii="Tahoma" w:hAnsi="Tahoma" w:cs="Tahoma"/>
          <w:sz w:val="24"/>
          <w:szCs w:val="24"/>
        </w:rPr>
        <w:t>s</w:t>
      </w:r>
      <w:r w:rsidRPr="006A02FA">
        <w:rPr>
          <w:rFonts w:ascii="Tahoma" w:hAnsi="Tahoma" w:cs="Tahoma"/>
          <w:sz w:val="24"/>
          <w:szCs w:val="24"/>
        </w:rPr>
        <w:t xml:space="preserve"> de partilha de produção</w:t>
      </w:r>
      <w:r w:rsidR="008D680F">
        <w:rPr>
          <w:rFonts w:ascii="Tahoma" w:hAnsi="Tahoma" w:cs="Tahoma"/>
          <w:sz w:val="24"/>
          <w:szCs w:val="24"/>
        </w:rPr>
        <w:t xml:space="preserve"> usados no sector petrolífero.</w:t>
      </w:r>
    </w:p>
    <w:p w:rsidR="00C865BB" w:rsidRPr="006A02FA"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6A02FA">
        <w:rPr>
          <w:rFonts w:ascii="Tahoma" w:hAnsi="Tahoma" w:cs="Tahoma"/>
          <w:sz w:val="24"/>
          <w:szCs w:val="24"/>
        </w:rPr>
        <w:t>É essencial proceder à assinatura de Acordos Bilaterais de promoção de comércio com os países potenciais compradores, em particular os países vizinhos</w:t>
      </w:r>
      <w:r>
        <w:rPr>
          <w:rFonts w:ascii="Tahoma" w:hAnsi="Tahoma" w:cs="Tahoma"/>
          <w:sz w:val="24"/>
          <w:szCs w:val="24"/>
        </w:rPr>
        <w:t>.</w:t>
      </w:r>
    </w:p>
    <w:p w:rsidR="008D680F" w:rsidRDefault="00C865BB" w:rsidP="008D680F">
      <w:pPr>
        <w:pStyle w:val="PargrafodaLista"/>
        <w:numPr>
          <w:ilvl w:val="0"/>
          <w:numId w:val="21"/>
        </w:numPr>
        <w:spacing w:after="240" w:line="240" w:lineRule="auto"/>
        <w:ind w:left="142" w:right="-488" w:hanging="142"/>
        <w:contextualSpacing w:val="0"/>
        <w:jc w:val="both"/>
        <w:rPr>
          <w:rFonts w:ascii="Tahoma" w:hAnsi="Tahoma" w:cs="Tahoma"/>
          <w:sz w:val="24"/>
          <w:szCs w:val="24"/>
          <w:lang w:eastAsia="ja-JP"/>
        </w:rPr>
      </w:pPr>
      <w:r>
        <w:rPr>
          <w:rFonts w:ascii="Tahoma" w:hAnsi="Tahoma" w:cs="Tahoma"/>
          <w:sz w:val="24"/>
          <w:szCs w:val="24"/>
          <w:lang w:eastAsia="ja-JP"/>
        </w:rPr>
        <w:t xml:space="preserve">Devem igualmente ser criados mecanismos de fomento às exportações, tais como </w:t>
      </w:r>
      <w:r w:rsidRPr="006A02FA">
        <w:rPr>
          <w:rFonts w:ascii="Tahoma" w:hAnsi="Tahoma" w:cs="Tahoma"/>
          <w:sz w:val="24"/>
          <w:szCs w:val="24"/>
          <w:lang w:eastAsia="ja-JP"/>
        </w:rPr>
        <w:t>linhas de financiamento e seguros</w:t>
      </w:r>
      <w:r>
        <w:rPr>
          <w:rFonts w:ascii="Tahoma" w:hAnsi="Tahoma" w:cs="Tahoma"/>
          <w:sz w:val="24"/>
          <w:szCs w:val="24"/>
          <w:lang w:eastAsia="ja-JP"/>
        </w:rPr>
        <w:t xml:space="preserve"> de crédito </w:t>
      </w:r>
      <w:r w:rsidRPr="006A02FA">
        <w:rPr>
          <w:rFonts w:ascii="Tahoma" w:hAnsi="Tahoma" w:cs="Tahoma"/>
          <w:sz w:val="24"/>
          <w:szCs w:val="24"/>
          <w:lang w:eastAsia="ja-JP"/>
        </w:rPr>
        <w:t>às exportações</w:t>
      </w:r>
      <w:r>
        <w:rPr>
          <w:rFonts w:ascii="Tahoma" w:hAnsi="Tahoma" w:cs="Tahoma"/>
          <w:sz w:val="24"/>
          <w:szCs w:val="24"/>
          <w:lang w:eastAsia="ja-JP"/>
        </w:rPr>
        <w:t>;</w:t>
      </w:r>
    </w:p>
    <w:p w:rsidR="000B1190" w:rsidRDefault="000B1190" w:rsidP="000B1190">
      <w:pPr>
        <w:spacing w:after="240" w:line="240" w:lineRule="auto"/>
        <w:ind w:right="-488"/>
        <w:jc w:val="both"/>
        <w:rPr>
          <w:rFonts w:ascii="Tahoma" w:hAnsi="Tahoma" w:cs="Tahoma"/>
          <w:sz w:val="24"/>
          <w:szCs w:val="24"/>
          <w:lang w:eastAsia="ja-JP"/>
        </w:rPr>
      </w:pPr>
    </w:p>
    <w:p w:rsidR="000B1190" w:rsidRPr="000B1190" w:rsidRDefault="000B1190" w:rsidP="000B1190">
      <w:pPr>
        <w:spacing w:after="240" w:line="240" w:lineRule="auto"/>
        <w:ind w:right="-488"/>
        <w:jc w:val="both"/>
        <w:rPr>
          <w:rFonts w:ascii="Tahoma" w:hAnsi="Tahoma" w:cs="Tahoma"/>
          <w:sz w:val="24"/>
          <w:szCs w:val="24"/>
          <w:lang w:eastAsia="ja-JP"/>
        </w:rPr>
      </w:pPr>
      <w:bookmarkStart w:id="37" w:name="_GoBack"/>
      <w:bookmarkEnd w:id="37"/>
    </w:p>
    <w:p w:rsidR="00C865BB" w:rsidRPr="005C0BCA" w:rsidRDefault="00C865BB" w:rsidP="00C865BB">
      <w:pPr>
        <w:pStyle w:val="PargrafodaLista"/>
        <w:numPr>
          <w:ilvl w:val="2"/>
          <w:numId w:val="16"/>
        </w:numPr>
        <w:spacing w:after="120" w:line="480" w:lineRule="auto"/>
        <w:ind w:left="142" w:hanging="142"/>
        <w:outlineLvl w:val="1"/>
        <w:rPr>
          <w:rFonts w:ascii="Tahoma" w:eastAsia="Trebuchet MS" w:hAnsi="Tahoma" w:cs="Tahoma"/>
          <w:b/>
          <w:sz w:val="24"/>
          <w:szCs w:val="24"/>
          <w:lang w:eastAsia="ja-JP"/>
        </w:rPr>
      </w:pPr>
      <w:bookmarkStart w:id="38" w:name="_Toc440657399"/>
      <w:r w:rsidRPr="005C0BCA">
        <w:rPr>
          <w:rFonts w:ascii="Tahoma" w:eastAsia="Trebuchet MS" w:hAnsi="Tahoma" w:cs="Tahoma"/>
          <w:b/>
          <w:sz w:val="24"/>
          <w:szCs w:val="24"/>
          <w:lang w:eastAsia="ja-JP"/>
        </w:rPr>
        <w:lastRenderedPageBreak/>
        <w:t>Aumento da produção para a cesta básica e outros produtos</w:t>
      </w:r>
      <w:bookmarkEnd w:id="38"/>
    </w:p>
    <w:p w:rsidR="00C865BB" w:rsidRPr="004D0C85"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lang w:eastAsia="ja-JP"/>
        </w:rPr>
      </w:pPr>
      <w:r w:rsidRPr="004D0C85">
        <w:rPr>
          <w:rFonts w:ascii="Tahoma" w:hAnsi="Tahoma" w:cs="Tahoma"/>
          <w:sz w:val="24"/>
          <w:szCs w:val="24"/>
          <w:lang w:eastAsia="ja-JP"/>
        </w:rPr>
        <w:t xml:space="preserve">Angola sendo um país importador de matérias-primas, equipamentos, bens de consumo corrente e serviços tem observado grandes dificuldades de importação destes bens, </w:t>
      </w:r>
      <w:r>
        <w:rPr>
          <w:rFonts w:ascii="Tahoma" w:hAnsi="Tahoma" w:cs="Tahoma"/>
          <w:sz w:val="24"/>
          <w:szCs w:val="24"/>
          <w:lang w:eastAsia="ja-JP"/>
        </w:rPr>
        <w:t>na sequência</w:t>
      </w:r>
      <w:r w:rsidRPr="004D0C85">
        <w:rPr>
          <w:rFonts w:ascii="Tahoma" w:hAnsi="Tahoma" w:cs="Tahoma"/>
          <w:sz w:val="24"/>
          <w:szCs w:val="24"/>
          <w:lang w:eastAsia="ja-JP"/>
        </w:rPr>
        <w:t xml:space="preserve"> </w:t>
      </w:r>
      <w:r>
        <w:rPr>
          <w:rFonts w:ascii="Tahoma" w:hAnsi="Tahoma" w:cs="Tahoma"/>
          <w:sz w:val="24"/>
          <w:szCs w:val="24"/>
          <w:lang w:eastAsia="ja-JP"/>
        </w:rPr>
        <w:t xml:space="preserve">da </w:t>
      </w:r>
      <w:r w:rsidRPr="004D0C85">
        <w:rPr>
          <w:rFonts w:ascii="Tahoma" w:hAnsi="Tahoma" w:cs="Tahoma"/>
          <w:sz w:val="24"/>
          <w:szCs w:val="24"/>
          <w:lang w:eastAsia="ja-JP"/>
        </w:rPr>
        <w:t>queda das receitas cambiais.</w:t>
      </w:r>
    </w:p>
    <w:p w:rsidR="00C865BB"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lang w:eastAsia="ja-JP"/>
        </w:rPr>
      </w:pPr>
      <w:r>
        <w:rPr>
          <w:rFonts w:ascii="Tahoma" w:hAnsi="Tahoma" w:cs="Tahoma"/>
          <w:sz w:val="24"/>
          <w:szCs w:val="24"/>
        </w:rPr>
        <w:t xml:space="preserve">A </w:t>
      </w:r>
      <w:r w:rsidRPr="004D0C85">
        <w:rPr>
          <w:rFonts w:ascii="Tahoma" w:hAnsi="Tahoma" w:cs="Tahoma"/>
          <w:sz w:val="24"/>
          <w:szCs w:val="24"/>
        </w:rPr>
        <w:t xml:space="preserve">importação dos produtos da cesta básica </w:t>
      </w:r>
      <w:r>
        <w:rPr>
          <w:rFonts w:ascii="Tahoma" w:hAnsi="Tahoma" w:cs="Tahoma"/>
          <w:sz w:val="24"/>
          <w:szCs w:val="24"/>
        </w:rPr>
        <w:t>aumentou</w:t>
      </w:r>
      <w:r w:rsidRPr="004D0C85">
        <w:rPr>
          <w:rFonts w:ascii="Tahoma" w:hAnsi="Tahoma" w:cs="Tahoma"/>
          <w:sz w:val="24"/>
          <w:szCs w:val="24"/>
        </w:rPr>
        <w:t xml:space="preserve"> </w:t>
      </w:r>
      <w:r>
        <w:rPr>
          <w:rFonts w:ascii="Tahoma" w:hAnsi="Tahoma" w:cs="Tahoma"/>
          <w:sz w:val="24"/>
          <w:szCs w:val="24"/>
        </w:rPr>
        <w:t>cerca de</w:t>
      </w:r>
      <w:r w:rsidRPr="004D0C85">
        <w:rPr>
          <w:rFonts w:ascii="Tahoma" w:hAnsi="Tahoma" w:cs="Tahoma"/>
          <w:sz w:val="24"/>
          <w:szCs w:val="24"/>
        </w:rPr>
        <w:t xml:space="preserve"> </w:t>
      </w:r>
      <w:r>
        <w:rPr>
          <w:rFonts w:ascii="Tahoma" w:hAnsi="Tahoma" w:cs="Tahoma"/>
          <w:sz w:val="24"/>
          <w:szCs w:val="24"/>
        </w:rPr>
        <w:t>94</w:t>
      </w:r>
      <w:r w:rsidRPr="004D0C85">
        <w:rPr>
          <w:rFonts w:ascii="Tahoma" w:hAnsi="Tahoma" w:cs="Tahoma"/>
          <w:sz w:val="24"/>
          <w:szCs w:val="24"/>
        </w:rPr>
        <w:t xml:space="preserve">% </w:t>
      </w:r>
      <w:r>
        <w:rPr>
          <w:rFonts w:ascii="Tahoma" w:hAnsi="Tahoma" w:cs="Tahoma"/>
          <w:sz w:val="24"/>
          <w:szCs w:val="24"/>
        </w:rPr>
        <w:t xml:space="preserve">em 2014 </w:t>
      </w:r>
      <w:r w:rsidRPr="004D0C85">
        <w:rPr>
          <w:rFonts w:ascii="Tahoma" w:hAnsi="Tahoma" w:cs="Tahoma"/>
          <w:sz w:val="24"/>
          <w:szCs w:val="24"/>
        </w:rPr>
        <w:t xml:space="preserve">e </w:t>
      </w:r>
      <w:r>
        <w:rPr>
          <w:rFonts w:ascii="Tahoma" w:hAnsi="Tahoma" w:cs="Tahoma"/>
          <w:sz w:val="24"/>
          <w:szCs w:val="24"/>
        </w:rPr>
        <w:t xml:space="preserve">reduziu 3% em </w:t>
      </w:r>
      <w:r w:rsidRPr="004D0C85">
        <w:rPr>
          <w:rFonts w:ascii="Tahoma" w:hAnsi="Tahoma" w:cs="Tahoma"/>
          <w:sz w:val="24"/>
          <w:szCs w:val="24"/>
        </w:rPr>
        <w:t>2015</w:t>
      </w:r>
      <w:r>
        <w:rPr>
          <w:rFonts w:ascii="Tahoma" w:hAnsi="Tahoma" w:cs="Tahoma"/>
          <w:sz w:val="24"/>
          <w:szCs w:val="24"/>
        </w:rPr>
        <w:t>. Os produtos que mais concorreram para o aumento observado em 2014 foram: leite em pó (100%), arroz (96%) e açúcar (96%)</w:t>
      </w:r>
      <w:r w:rsidRPr="004D0C85">
        <w:rPr>
          <w:rFonts w:ascii="Tahoma" w:hAnsi="Tahoma" w:cs="Tahoma"/>
          <w:sz w:val="24"/>
          <w:szCs w:val="24"/>
        </w:rPr>
        <w:t>.</w:t>
      </w:r>
    </w:p>
    <w:p w:rsidR="00C865BB" w:rsidRPr="004D0C85"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lang w:eastAsia="ja-JP"/>
        </w:rPr>
      </w:pPr>
      <w:r>
        <w:rPr>
          <w:rFonts w:ascii="Tahoma" w:hAnsi="Tahoma" w:cs="Tahoma"/>
          <w:sz w:val="24"/>
          <w:szCs w:val="24"/>
        </w:rPr>
        <w:t xml:space="preserve">Uma vez que </w:t>
      </w:r>
      <w:r w:rsidRPr="004D0C85">
        <w:rPr>
          <w:rFonts w:ascii="Tahoma" w:hAnsi="Tahoma" w:cs="Tahoma"/>
          <w:sz w:val="24"/>
          <w:szCs w:val="24"/>
        </w:rPr>
        <w:t>a cesta básica</w:t>
      </w:r>
      <w:r>
        <w:rPr>
          <w:rFonts w:ascii="Tahoma" w:hAnsi="Tahoma" w:cs="Tahoma"/>
          <w:sz w:val="24"/>
          <w:szCs w:val="24"/>
        </w:rPr>
        <w:t xml:space="preserve"> contem os </w:t>
      </w:r>
      <w:r w:rsidRPr="004D0C85">
        <w:rPr>
          <w:rFonts w:ascii="Tahoma" w:hAnsi="Tahoma" w:cs="Tahoma"/>
          <w:sz w:val="24"/>
          <w:szCs w:val="24"/>
        </w:rPr>
        <w:t>produtos d</w:t>
      </w:r>
      <w:r>
        <w:rPr>
          <w:rFonts w:ascii="Tahoma" w:hAnsi="Tahoma" w:cs="Tahoma"/>
          <w:sz w:val="24"/>
          <w:szCs w:val="24"/>
        </w:rPr>
        <w:t xml:space="preserve">e </w:t>
      </w:r>
      <w:r w:rsidRPr="004D0C85">
        <w:rPr>
          <w:rFonts w:ascii="Tahoma" w:hAnsi="Tahoma" w:cs="Tahoma"/>
          <w:sz w:val="24"/>
          <w:szCs w:val="24"/>
        </w:rPr>
        <w:t>amplo</w:t>
      </w:r>
      <w:r>
        <w:rPr>
          <w:rFonts w:ascii="Tahoma" w:hAnsi="Tahoma" w:cs="Tahoma"/>
          <w:sz w:val="24"/>
          <w:szCs w:val="24"/>
        </w:rPr>
        <w:t xml:space="preserve"> </w:t>
      </w:r>
      <w:r w:rsidRPr="004D0C85">
        <w:rPr>
          <w:rFonts w:ascii="Tahoma" w:hAnsi="Tahoma" w:cs="Tahoma"/>
          <w:sz w:val="24"/>
          <w:szCs w:val="24"/>
        </w:rPr>
        <w:t>consumo das populações torna-se necessário implementar medidas concretas para acelerar a produção destes bens localmente com vista à substituição selectiva das importações.</w:t>
      </w:r>
    </w:p>
    <w:p w:rsidR="00C865BB" w:rsidRPr="008D680F"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lang w:eastAsia="ja-JP"/>
        </w:rPr>
      </w:pPr>
      <w:r w:rsidRPr="008D680F">
        <w:rPr>
          <w:rFonts w:ascii="Tahoma" w:hAnsi="Tahoma" w:cs="Tahoma"/>
          <w:sz w:val="24"/>
          <w:szCs w:val="24"/>
          <w:lang w:eastAsia="ja-JP"/>
        </w:rPr>
        <w:t xml:space="preserve">Neste sentido, no âmbito do aumento da produção interna, deve-se  </w:t>
      </w:r>
      <w:r w:rsidR="008D680F" w:rsidRPr="008D680F">
        <w:rPr>
          <w:rFonts w:ascii="Tahoma" w:hAnsi="Tahoma" w:cs="Tahoma"/>
          <w:sz w:val="24"/>
          <w:szCs w:val="24"/>
          <w:lang w:eastAsia="ja-JP"/>
        </w:rPr>
        <w:t>f</w:t>
      </w:r>
      <w:r w:rsidR="008D680F">
        <w:rPr>
          <w:rFonts w:ascii="Tahoma" w:hAnsi="Tahoma" w:cs="Tahoma"/>
          <w:sz w:val="24"/>
          <w:szCs w:val="24"/>
        </w:rPr>
        <w:t xml:space="preserve">azer crescer, a um </w:t>
      </w:r>
      <w:r w:rsidRPr="008D680F">
        <w:rPr>
          <w:rFonts w:ascii="Tahoma" w:hAnsi="Tahoma" w:cs="Tahoma"/>
          <w:sz w:val="24"/>
          <w:szCs w:val="24"/>
        </w:rPr>
        <w:t xml:space="preserve"> ritmo acelerado, a produção nacional de produtos da cesta básica e de outros produtos,</w:t>
      </w:r>
      <w:r w:rsidRPr="008D680F">
        <w:rPr>
          <w:rFonts w:ascii="Tahoma" w:hAnsi="Tahoma" w:cs="Tahoma"/>
          <w:i/>
          <w:sz w:val="24"/>
          <w:szCs w:val="24"/>
        </w:rPr>
        <w:t xml:space="preserve"> </w:t>
      </w:r>
      <w:r w:rsidRPr="008D680F">
        <w:rPr>
          <w:rFonts w:ascii="Tahoma" w:hAnsi="Tahoma" w:cs="Tahoma"/>
          <w:sz w:val="24"/>
          <w:szCs w:val="24"/>
        </w:rPr>
        <w:t>com o compromisso explícito de se atingir a auto-suficiência do consumo nacional e aumento das exportações em prazos a determinar para cada um dos produtos seleccionados</w:t>
      </w:r>
      <w:r w:rsidR="008D680F">
        <w:rPr>
          <w:rFonts w:ascii="Tahoma" w:hAnsi="Tahoma" w:cs="Tahoma"/>
          <w:sz w:val="24"/>
          <w:szCs w:val="24"/>
        </w:rPr>
        <w:t>.</w:t>
      </w:r>
    </w:p>
    <w:p w:rsidR="00C865BB" w:rsidRPr="00B247D8" w:rsidRDefault="00C865BB" w:rsidP="00C865BB">
      <w:pPr>
        <w:pStyle w:val="PargrafodaLista"/>
        <w:spacing w:after="120" w:line="240" w:lineRule="auto"/>
        <w:ind w:left="142" w:right="-488" w:hanging="142"/>
        <w:jc w:val="both"/>
        <w:rPr>
          <w:rFonts w:ascii="Tahoma" w:hAnsi="Tahoma" w:cs="Tahoma"/>
          <w:sz w:val="24"/>
          <w:szCs w:val="24"/>
          <w:lang w:eastAsia="ja-JP"/>
        </w:rPr>
      </w:pPr>
    </w:p>
    <w:p w:rsidR="00C865BB"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sidRPr="00B247D8">
        <w:rPr>
          <w:rFonts w:ascii="Tahoma" w:hAnsi="Tahoma" w:cs="Tahoma"/>
          <w:sz w:val="24"/>
          <w:szCs w:val="24"/>
        </w:rPr>
        <w:t>A seguir apresentam-se os produtos e serviços aos quais se deve prestar a maior atenção:</w:t>
      </w:r>
    </w:p>
    <w:p w:rsidR="00C865BB" w:rsidRDefault="00C865BB" w:rsidP="00C865BB">
      <w:pPr>
        <w:pStyle w:val="PargrafodaLista"/>
        <w:spacing w:after="120" w:line="240" w:lineRule="auto"/>
        <w:ind w:left="142" w:right="-488" w:hanging="142"/>
        <w:jc w:val="both"/>
        <w:rPr>
          <w:rFonts w:ascii="Tahoma" w:hAnsi="Tahoma" w:cs="Tahoma"/>
          <w:sz w:val="24"/>
          <w:szCs w:val="24"/>
        </w:rPr>
      </w:pPr>
    </w:p>
    <w:p w:rsidR="00C865BB" w:rsidRPr="00B247D8" w:rsidRDefault="00C865BB" w:rsidP="00C865BB">
      <w:pPr>
        <w:pStyle w:val="PargrafodaLista"/>
        <w:spacing w:after="120" w:line="240" w:lineRule="auto"/>
        <w:ind w:left="142" w:right="-488" w:hanging="142"/>
        <w:jc w:val="both"/>
        <w:rPr>
          <w:rFonts w:ascii="Tahoma" w:hAnsi="Tahoma" w:cs="Tahoma"/>
          <w:sz w:val="24"/>
          <w:szCs w:val="24"/>
        </w:rPr>
      </w:pPr>
      <w:r>
        <w:rPr>
          <w:rFonts w:ascii="Tahoma" w:hAnsi="Tahoma" w:cs="Tahoma"/>
          <w:b/>
          <w:sz w:val="24"/>
          <w:szCs w:val="24"/>
        </w:rPr>
        <w:t xml:space="preserve">        </w:t>
      </w:r>
      <w:r w:rsidRPr="00B247D8">
        <w:rPr>
          <w:rFonts w:ascii="Tahoma" w:hAnsi="Tahoma" w:cs="Tahoma"/>
          <w:b/>
          <w:sz w:val="24"/>
          <w:szCs w:val="24"/>
        </w:rPr>
        <w:t>Agricultura e silvicultura:</w:t>
      </w:r>
      <w:r w:rsidRPr="00B247D8">
        <w:rPr>
          <w:rFonts w:ascii="Tahoma" w:hAnsi="Tahoma" w:cs="Tahoma"/>
          <w:sz w:val="24"/>
          <w:szCs w:val="24"/>
        </w:rPr>
        <w:t xml:space="preserve"> madeira e seus derivados, café, sementes (milho, soja</w:t>
      </w:r>
      <w:r>
        <w:rPr>
          <w:rFonts w:ascii="Tahoma" w:hAnsi="Tahoma" w:cs="Tahoma"/>
          <w:sz w:val="24"/>
          <w:szCs w:val="24"/>
        </w:rPr>
        <w:t xml:space="preserve"> e </w:t>
      </w:r>
      <w:r w:rsidRPr="00B247D8">
        <w:rPr>
          <w:rFonts w:ascii="Tahoma" w:hAnsi="Tahoma" w:cs="Tahoma"/>
          <w:sz w:val="24"/>
          <w:szCs w:val="24"/>
        </w:rPr>
        <w:t>batata), milho, soja, feijão, mandioca, arroz, batata, hortaliças, cevada, legumes, frangos e ovos frescos, algodão, cana-de-açúcar, caprinos, ovinos, suínos, moringueiras e palmares;</w:t>
      </w:r>
    </w:p>
    <w:p w:rsidR="00C865BB" w:rsidRPr="004D0C85" w:rsidRDefault="00C865BB" w:rsidP="00C865BB">
      <w:pPr>
        <w:pStyle w:val="PargrafodaLista"/>
        <w:spacing w:after="200" w:line="240" w:lineRule="auto"/>
        <w:ind w:left="142" w:hanging="142"/>
        <w:jc w:val="both"/>
        <w:rPr>
          <w:rFonts w:ascii="Tahoma" w:hAnsi="Tahoma" w:cs="Tahoma"/>
          <w:sz w:val="24"/>
          <w:szCs w:val="24"/>
        </w:rPr>
      </w:pPr>
    </w:p>
    <w:p w:rsidR="00C865BB" w:rsidRPr="00872086" w:rsidRDefault="00C865BB" w:rsidP="00872086">
      <w:pPr>
        <w:pStyle w:val="PargrafodaLista"/>
        <w:numPr>
          <w:ilvl w:val="0"/>
          <w:numId w:val="34"/>
        </w:numPr>
        <w:spacing w:after="200" w:line="240" w:lineRule="auto"/>
        <w:jc w:val="both"/>
        <w:rPr>
          <w:rFonts w:ascii="Tahoma" w:hAnsi="Tahoma" w:cs="Tahoma"/>
          <w:b/>
          <w:sz w:val="24"/>
          <w:szCs w:val="24"/>
        </w:rPr>
      </w:pPr>
      <w:r w:rsidRPr="004D0C85">
        <w:rPr>
          <w:rFonts w:ascii="Tahoma" w:hAnsi="Tahoma" w:cs="Tahoma"/>
          <w:b/>
          <w:sz w:val="24"/>
          <w:szCs w:val="24"/>
        </w:rPr>
        <w:t>Indúst</w:t>
      </w:r>
      <w:r>
        <w:rPr>
          <w:rFonts w:ascii="Tahoma" w:hAnsi="Tahoma" w:cs="Tahoma"/>
          <w:b/>
          <w:sz w:val="24"/>
          <w:szCs w:val="24"/>
        </w:rPr>
        <w:t xml:space="preserve">ria </w:t>
      </w:r>
      <w:r w:rsidRPr="004D0C85">
        <w:rPr>
          <w:rFonts w:ascii="Tahoma" w:hAnsi="Tahoma" w:cs="Tahoma"/>
          <w:b/>
          <w:sz w:val="24"/>
          <w:szCs w:val="24"/>
        </w:rPr>
        <w:t>Alimentar</w:t>
      </w:r>
      <w:r w:rsidRPr="006A02FA">
        <w:rPr>
          <w:rFonts w:ascii="Tahoma" w:hAnsi="Tahoma" w:cs="Tahoma"/>
          <w:sz w:val="24"/>
          <w:szCs w:val="24"/>
        </w:rPr>
        <w:t xml:space="preserve">: fuba de </w:t>
      </w:r>
      <w:r>
        <w:rPr>
          <w:rFonts w:ascii="Tahoma" w:hAnsi="Tahoma" w:cs="Tahoma"/>
          <w:sz w:val="24"/>
          <w:szCs w:val="24"/>
        </w:rPr>
        <w:t xml:space="preserve">bombó </w:t>
      </w:r>
      <w:r w:rsidRPr="00482FBF">
        <w:rPr>
          <w:rFonts w:ascii="Tahoma" w:hAnsi="Tahoma" w:cs="Tahoma"/>
          <w:sz w:val="24"/>
          <w:szCs w:val="24"/>
        </w:rPr>
        <w:t>e de milho</w:t>
      </w:r>
      <w:r>
        <w:rPr>
          <w:rFonts w:ascii="Tahoma" w:hAnsi="Tahoma" w:cs="Tahoma"/>
          <w:sz w:val="24"/>
          <w:szCs w:val="24"/>
        </w:rPr>
        <w:t>, água mineral e de mesa, cerveja</w:t>
      </w:r>
      <w:r w:rsidRPr="006A02FA">
        <w:rPr>
          <w:rFonts w:ascii="Tahoma" w:hAnsi="Tahoma" w:cs="Tahoma"/>
          <w:sz w:val="24"/>
          <w:szCs w:val="24"/>
        </w:rPr>
        <w:t xml:space="preserve">, refrigerantes, sal </w:t>
      </w:r>
      <w:r>
        <w:rPr>
          <w:rFonts w:ascii="Tahoma" w:hAnsi="Tahoma" w:cs="Tahoma"/>
          <w:sz w:val="24"/>
          <w:szCs w:val="24"/>
        </w:rPr>
        <w:t>iodizado,</w:t>
      </w:r>
      <w:r w:rsidRPr="006A02FA">
        <w:rPr>
          <w:rFonts w:ascii="Tahoma" w:hAnsi="Tahoma" w:cs="Tahoma"/>
          <w:sz w:val="24"/>
          <w:szCs w:val="24"/>
        </w:rPr>
        <w:t xml:space="preserve"> farinha de milho</w:t>
      </w:r>
      <w:r>
        <w:rPr>
          <w:rFonts w:ascii="Tahoma" w:hAnsi="Tahoma" w:cs="Tahoma"/>
          <w:sz w:val="24"/>
          <w:szCs w:val="24"/>
        </w:rPr>
        <w:t>, sabão, farinha de trigo</w:t>
      </w:r>
      <w:r w:rsidRPr="006A02FA">
        <w:rPr>
          <w:rFonts w:ascii="Tahoma" w:hAnsi="Tahoma" w:cs="Tahoma"/>
          <w:sz w:val="24"/>
          <w:szCs w:val="24"/>
        </w:rPr>
        <w:t xml:space="preserve">, </w:t>
      </w:r>
      <w:r>
        <w:rPr>
          <w:rFonts w:ascii="Tahoma" w:hAnsi="Tahoma" w:cs="Tahoma"/>
          <w:sz w:val="24"/>
          <w:szCs w:val="24"/>
        </w:rPr>
        <w:t xml:space="preserve">óleo alimentar, óleo de palma, </w:t>
      </w:r>
      <w:r w:rsidRPr="006A02FA">
        <w:rPr>
          <w:rFonts w:ascii="Tahoma" w:hAnsi="Tahoma" w:cs="Tahoma"/>
          <w:sz w:val="24"/>
          <w:szCs w:val="24"/>
        </w:rPr>
        <w:t>massas alimentares</w:t>
      </w:r>
      <w:r>
        <w:rPr>
          <w:rFonts w:ascii="Tahoma" w:hAnsi="Tahoma" w:cs="Tahoma"/>
          <w:sz w:val="24"/>
          <w:szCs w:val="24"/>
        </w:rPr>
        <w:t xml:space="preserve">, malte </w:t>
      </w:r>
      <w:r w:rsidRPr="006A02FA">
        <w:rPr>
          <w:rFonts w:ascii="Tahoma" w:hAnsi="Tahoma" w:cs="Tahoma"/>
          <w:sz w:val="24"/>
          <w:szCs w:val="24"/>
        </w:rPr>
        <w:t>e açúcar;</w:t>
      </w:r>
    </w:p>
    <w:p w:rsidR="00872086" w:rsidRPr="00872086" w:rsidRDefault="00872086" w:rsidP="00872086">
      <w:pPr>
        <w:pStyle w:val="PargrafodaLista"/>
        <w:spacing w:after="200" w:line="240" w:lineRule="auto"/>
        <w:ind w:left="862"/>
        <w:jc w:val="both"/>
        <w:rPr>
          <w:rFonts w:ascii="Tahoma" w:hAnsi="Tahoma" w:cs="Tahoma"/>
          <w:b/>
          <w:sz w:val="24"/>
          <w:szCs w:val="24"/>
        </w:rPr>
      </w:pPr>
    </w:p>
    <w:p w:rsidR="00C865BB" w:rsidRPr="00872086" w:rsidRDefault="00C865BB" w:rsidP="00872086">
      <w:pPr>
        <w:pStyle w:val="PargrafodaLista"/>
        <w:numPr>
          <w:ilvl w:val="0"/>
          <w:numId w:val="34"/>
        </w:numPr>
        <w:spacing w:after="200" w:line="240" w:lineRule="auto"/>
        <w:jc w:val="both"/>
        <w:rPr>
          <w:rFonts w:ascii="Tahoma" w:hAnsi="Tahoma" w:cs="Tahoma"/>
          <w:b/>
          <w:sz w:val="24"/>
          <w:szCs w:val="24"/>
        </w:rPr>
      </w:pPr>
      <w:r w:rsidRPr="00872086">
        <w:rPr>
          <w:rFonts w:ascii="Tahoma" w:hAnsi="Tahoma" w:cs="Tahoma"/>
          <w:b/>
          <w:sz w:val="24"/>
          <w:szCs w:val="24"/>
        </w:rPr>
        <w:t>Restante Indústria Transformadora</w:t>
      </w:r>
      <w:r w:rsidRPr="00872086">
        <w:rPr>
          <w:rFonts w:ascii="Tahoma" w:hAnsi="Tahoma" w:cs="Tahoma"/>
          <w:sz w:val="24"/>
          <w:szCs w:val="24"/>
        </w:rPr>
        <w:t>: cimento, madeira, plásticos, vidro, têxteis, material e equipamento escolar, materiais de construção;</w:t>
      </w:r>
    </w:p>
    <w:p w:rsidR="00872086" w:rsidRPr="00872086" w:rsidRDefault="00872086" w:rsidP="00872086">
      <w:pPr>
        <w:pStyle w:val="PargrafodaLista"/>
        <w:rPr>
          <w:rFonts w:ascii="Tahoma" w:hAnsi="Tahoma" w:cs="Tahoma"/>
          <w:b/>
          <w:sz w:val="24"/>
          <w:szCs w:val="24"/>
        </w:rPr>
      </w:pPr>
    </w:p>
    <w:p w:rsidR="00C865BB" w:rsidRPr="00872086" w:rsidRDefault="00C865BB" w:rsidP="00872086">
      <w:pPr>
        <w:pStyle w:val="PargrafodaLista"/>
        <w:numPr>
          <w:ilvl w:val="0"/>
          <w:numId w:val="34"/>
        </w:numPr>
        <w:spacing w:after="200" w:line="240" w:lineRule="auto"/>
        <w:jc w:val="both"/>
        <w:rPr>
          <w:rFonts w:ascii="Tahoma" w:hAnsi="Tahoma" w:cs="Tahoma"/>
          <w:b/>
          <w:sz w:val="24"/>
          <w:szCs w:val="24"/>
        </w:rPr>
      </w:pPr>
      <w:r w:rsidRPr="00872086">
        <w:rPr>
          <w:rFonts w:ascii="Tahoma" w:hAnsi="Tahoma" w:cs="Tahoma"/>
          <w:b/>
          <w:sz w:val="24"/>
          <w:szCs w:val="24"/>
        </w:rPr>
        <w:t>Serviços</w:t>
      </w:r>
      <w:r w:rsidRPr="00872086">
        <w:rPr>
          <w:rFonts w:ascii="Tahoma" w:hAnsi="Tahoma" w:cs="Tahoma"/>
          <w:sz w:val="24"/>
          <w:szCs w:val="24"/>
        </w:rPr>
        <w:t>: seguros e resseguros, serviços dentro da cadeia petrolífera.</w:t>
      </w:r>
    </w:p>
    <w:p w:rsidR="00C865BB" w:rsidRPr="006A02FA" w:rsidRDefault="00C865BB" w:rsidP="00C865BB">
      <w:pPr>
        <w:pStyle w:val="PargrafodaLista"/>
        <w:spacing w:line="240" w:lineRule="auto"/>
        <w:ind w:left="142" w:hanging="142"/>
        <w:rPr>
          <w:rFonts w:ascii="Tahoma" w:hAnsi="Tahoma" w:cs="Tahoma"/>
          <w:sz w:val="24"/>
          <w:szCs w:val="24"/>
        </w:rPr>
      </w:pPr>
    </w:p>
    <w:p w:rsidR="00C865BB" w:rsidRPr="00E12BBB"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 xml:space="preserve">Para estes produtos devem ser definidos os respectivos Programas Dirigidos </w:t>
      </w:r>
      <w:r w:rsidR="008D680F">
        <w:rPr>
          <w:rFonts w:ascii="Tahoma" w:hAnsi="Tahoma" w:cs="Tahoma"/>
          <w:sz w:val="24"/>
          <w:szCs w:val="24"/>
        </w:rPr>
        <w:t>de acordo com o referido no ponto 63 acima.</w:t>
      </w:r>
    </w:p>
    <w:p w:rsidR="00C865BB" w:rsidRDefault="00C865BB" w:rsidP="007155D7">
      <w:pPr>
        <w:pStyle w:val="PargrafodaLista"/>
        <w:numPr>
          <w:ilvl w:val="0"/>
          <w:numId w:val="21"/>
        </w:numPr>
        <w:spacing w:after="120" w:line="240" w:lineRule="auto"/>
        <w:ind w:left="142" w:right="-488" w:hanging="142"/>
        <w:contextualSpacing w:val="0"/>
        <w:jc w:val="both"/>
        <w:rPr>
          <w:rFonts w:ascii="Tahoma" w:hAnsi="Tahoma" w:cs="Tahoma"/>
          <w:sz w:val="24"/>
          <w:szCs w:val="24"/>
        </w:rPr>
      </w:pPr>
      <w:r>
        <w:rPr>
          <w:rFonts w:ascii="Tahoma" w:hAnsi="Tahoma" w:cs="Tahoma"/>
          <w:sz w:val="24"/>
          <w:szCs w:val="24"/>
        </w:rPr>
        <w:t>Para a implementação do aumento da produção interna e das exportações será necessário assegurar a existência das seguintes condições transversais:</w:t>
      </w:r>
    </w:p>
    <w:p w:rsidR="00C865BB" w:rsidRPr="00872086" w:rsidRDefault="00C865BB" w:rsidP="00C865BB">
      <w:pPr>
        <w:pStyle w:val="PargrafodaLista"/>
        <w:numPr>
          <w:ilvl w:val="0"/>
          <w:numId w:val="12"/>
        </w:numPr>
        <w:spacing w:line="240" w:lineRule="auto"/>
        <w:ind w:left="142" w:hanging="142"/>
        <w:jc w:val="both"/>
        <w:rPr>
          <w:rFonts w:ascii="Tahoma" w:hAnsi="Tahoma" w:cs="Tahoma"/>
          <w:sz w:val="24"/>
          <w:szCs w:val="24"/>
        </w:rPr>
      </w:pPr>
      <w:r w:rsidRPr="00655BF7">
        <w:rPr>
          <w:rFonts w:ascii="Tahoma" w:hAnsi="Tahoma" w:cs="Tahoma"/>
          <w:i/>
          <w:sz w:val="24"/>
          <w:szCs w:val="24"/>
        </w:rPr>
        <w:t xml:space="preserve">No domínio da Energia e Águas: </w:t>
      </w:r>
    </w:p>
    <w:p w:rsidR="00872086" w:rsidRPr="00655BF7" w:rsidRDefault="00872086" w:rsidP="00872086">
      <w:pPr>
        <w:pStyle w:val="PargrafodaLista"/>
        <w:spacing w:line="240" w:lineRule="auto"/>
        <w:ind w:left="142"/>
        <w:jc w:val="both"/>
        <w:rPr>
          <w:rFonts w:ascii="Tahoma" w:hAnsi="Tahoma" w:cs="Tahoma"/>
          <w:sz w:val="24"/>
          <w:szCs w:val="24"/>
        </w:rPr>
      </w:pPr>
    </w:p>
    <w:p w:rsidR="00C865BB" w:rsidRDefault="00C865BB" w:rsidP="00872086">
      <w:pPr>
        <w:pStyle w:val="PargrafodaLista"/>
        <w:numPr>
          <w:ilvl w:val="0"/>
          <w:numId w:val="35"/>
        </w:numPr>
        <w:spacing w:after="200" w:line="240" w:lineRule="auto"/>
        <w:jc w:val="both"/>
        <w:rPr>
          <w:rFonts w:ascii="Tahoma" w:hAnsi="Tahoma" w:cs="Tahoma"/>
          <w:sz w:val="24"/>
          <w:szCs w:val="24"/>
        </w:rPr>
      </w:pPr>
      <w:r w:rsidRPr="00655BF7">
        <w:rPr>
          <w:rFonts w:ascii="Tahoma" w:hAnsi="Tahoma" w:cs="Tahoma"/>
          <w:sz w:val="24"/>
          <w:szCs w:val="24"/>
        </w:rPr>
        <w:t xml:space="preserve">Facilitar a ligação de energia eléctrica às indústrias e </w:t>
      </w:r>
      <w:r>
        <w:rPr>
          <w:rFonts w:ascii="Tahoma" w:hAnsi="Tahoma" w:cs="Tahoma"/>
          <w:sz w:val="24"/>
          <w:szCs w:val="24"/>
        </w:rPr>
        <w:t>produtores agrícolas instalados;</w:t>
      </w:r>
      <w:r w:rsidRPr="00655BF7">
        <w:rPr>
          <w:rFonts w:ascii="Tahoma" w:hAnsi="Tahoma" w:cs="Tahoma"/>
          <w:sz w:val="24"/>
          <w:szCs w:val="24"/>
        </w:rPr>
        <w:t xml:space="preserve"> </w:t>
      </w:r>
    </w:p>
    <w:p w:rsidR="00C865BB" w:rsidRDefault="00C865BB" w:rsidP="00872086">
      <w:pPr>
        <w:pStyle w:val="PargrafodaLista"/>
        <w:numPr>
          <w:ilvl w:val="0"/>
          <w:numId w:val="35"/>
        </w:numPr>
        <w:spacing w:after="200" w:line="240" w:lineRule="auto"/>
        <w:jc w:val="both"/>
        <w:rPr>
          <w:rFonts w:ascii="Tahoma" w:hAnsi="Tahoma" w:cs="Tahoma"/>
          <w:sz w:val="24"/>
          <w:szCs w:val="24"/>
        </w:rPr>
      </w:pPr>
      <w:r w:rsidRPr="00872086">
        <w:rPr>
          <w:rFonts w:ascii="Tahoma" w:hAnsi="Tahoma" w:cs="Tahoma"/>
          <w:sz w:val="24"/>
          <w:szCs w:val="24"/>
        </w:rPr>
        <w:t>Promover a implementação de projectos de geração de energia eléctrica de fontes renováveis e gás.</w:t>
      </w:r>
    </w:p>
    <w:p w:rsidR="00872086" w:rsidRPr="00872086" w:rsidRDefault="00872086" w:rsidP="00872086">
      <w:pPr>
        <w:pStyle w:val="PargrafodaLista"/>
        <w:spacing w:after="200" w:line="240" w:lineRule="auto"/>
        <w:ind w:left="862"/>
        <w:jc w:val="both"/>
        <w:rPr>
          <w:rFonts w:ascii="Tahoma" w:hAnsi="Tahoma" w:cs="Tahoma"/>
          <w:sz w:val="24"/>
          <w:szCs w:val="24"/>
        </w:rPr>
      </w:pPr>
    </w:p>
    <w:p w:rsidR="00C865BB" w:rsidRPr="00872086" w:rsidRDefault="00C865BB" w:rsidP="00C865BB">
      <w:pPr>
        <w:pStyle w:val="PargrafodaLista"/>
        <w:numPr>
          <w:ilvl w:val="0"/>
          <w:numId w:val="12"/>
        </w:numPr>
        <w:spacing w:line="240" w:lineRule="auto"/>
        <w:ind w:left="142" w:hanging="142"/>
        <w:jc w:val="both"/>
        <w:rPr>
          <w:rFonts w:ascii="Tahoma" w:hAnsi="Tahoma" w:cs="Tahoma"/>
          <w:sz w:val="24"/>
          <w:szCs w:val="24"/>
        </w:rPr>
      </w:pPr>
      <w:r w:rsidRPr="00655BF7">
        <w:rPr>
          <w:rFonts w:ascii="Tahoma" w:hAnsi="Tahoma" w:cs="Tahoma"/>
          <w:i/>
          <w:sz w:val="24"/>
          <w:szCs w:val="24"/>
        </w:rPr>
        <w:lastRenderedPageBreak/>
        <w:t>No domínio dos Transportes e Construção:</w:t>
      </w:r>
    </w:p>
    <w:p w:rsidR="00872086" w:rsidRPr="00655BF7" w:rsidRDefault="00872086" w:rsidP="00872086">
      <w:pPr>
        <w:pStyle w:val="PargrafodaLista"/>
        <w:spacing w:line="240" w:lineRule="auto"/>
        <w:ind w:left="142"/>
        <w:jc w:val="both"/>
        <w:rPr>
          <w:rFonts w:ascii="Tahoma" w:hAnsi="Tahoma" w:cs="Tahoma"/>
          <w:sz w:val="24"/>
          <w:szCs w:val="24"/>
        </w:rPr>
      </w:pPr>
    </w:p>
    <w:p w:rsidR="00C865BB" w:rsidRDefault="00C865BB" w:rsidP="00872086">
      <w:pPr>
        <w:pStyle w:val="PargrafodaLista"/>
        <w:numPr>
          <w:ilvl w:val="0"/>
          <w:numId w:val="36"/>
        </w:numPr>
        <w:spacing w:after="200" w:line="240" w:lineRule="auto"/>
        <w:jc w:val="both"/>
        <w:rPr>
          <w:rFonts w:ascii="Tahoma" w:hAnsi="Tahoma" w:cs="Tahoma"/>
          <w:sz w:val="24"/>
          <w:szCs w:val="24"/>
        </w:rPr>
      </w:pPr>
      <w:r w:rsidRPr="00655BF7">
        <w:rPr>
          <w:rFonts w:ascii="Tahoma" w:hAnsi="Tahoma" w:cs="Tahoma"/>
          <w:sz w:val="24"/>
          <w:szCs w:val="24"/>
        </w:rPr>
        <w:t>Garantir a manutenção e continuidade do processo de reabilitação das Estradas Nacionais;</w:t>
      </w:r>
    </w:p>
    <w:p w:rsidR="00C865BB" w:rsidRDefault="00C865BB" w:rsidP="00872086">
      <w:pPr>
        <w:pStyle w:val="PargrafodaLista"/>
        <w:numPr>
          <w:ilvl w:val="0"/>
          <w:numId w:val="36"/>
        </w:numPr>
        <w:spacing w:after="200" w:line="240" w:lineRule="auto"/>
        <w:jc w:val="both"/>
        <w:rPr>
          <w:rFonts w:ascii="Tahoma" w:hAnsi="Tahoma" w:cs="Tahoma"/>
          <w:sz w:val="24"/>
          <w:szCs w:val="24"/>
        </w:rPr>
      </w:pPr>
      <w:r w:rsidRPr="00872086">
        <w:rPr>
          <w:rFonts w:ascii="Tahoma" w:hAnsi="Tahoma" w:cs="Tahoma"/>
          <w:sz w:val="24"/>
          <w:szCs w:val="24"/>
        </w:rPr>
        <w:t>Reabilitar e ou construir vias de acesso às áreas com concentração de produção relevante;</w:t>
      </w:r>
    </w:p>
    <w:p w:rsidR="00C865BB" w:rsidRDefault="00C865BB" w:rsidP="00872086">
      <w:pPr>
        <w:pStyle w:val="PargrafodaLista"/>
        <w:numPr>
          <w:ilvl w:val="0"/>
          <w:numId w:val="36"/>
        </w:numPr>
        <w:spacing w:after="200" w:line="240" w:lineRule="auto"/>
        <w:jc w:val="both"/>
        <w:rPr>
          <w:rFonts w:ascii="Tahoma" w:hAnsi="Tahoma" w:cs="Tahoma"/>
          <w:sz w:val="24"/>
          <w:szCs w:val="24"/>
        </w:rPr>
      </w:pPr>
      <w:r w:rsidRPr="00872086">
        <w:rPr>
          <w:rFonts w:ascii="Tahoma" w:hAnsi="Tahoma" w:cs="Tahoma"/>
          <w:sz w:val="24"/>
          <w:szCs w:val="24"/>
        </w:rPr>
        <w:t>Dinamizar o processo de transportação de mercadorias pelos caminhos-de-ferro com custos reduzidos;</w:t>
      </w:r>
    </w:p>
    <w:p w:rsidR="00C865BB" w:rsidRDefault="00C865BB" w:rsidP="00872086">
      <w:pPr>
        <w:pStyle w:val="PargrafodaLista"/>
        <w:numPr>
          <w:ilvl w:val="0"/>
          <w:numId w:val="36"/>
        </w:numPr>
        <w:spacing w:after="200" w:line="240" w:lineRule="auto"/>
        <w:jc w:val="both"/>
        <w:rPr>
          <w:rFonts w:ascii="Tahoma" w:hAnsi="Tahoma" w:cs="Tahoma"/>
          <w:sz w:val="24"/>
          <w:szCs w:val="24"/>
        </w:rPr>
      </w:pPr>
      <w:r w:rsidRPr="00872086">
        <w:rPr>
          <w:rFonts w:ascii="Tahoma" w:hAnsi="Tahoma" w:cs="Tahoma"/>
          <w:sz w:val="24"/>
          <w:szCs w:val="24"/>
        </w:rPr>
        <w:t>Acelerar a implementação das plataformas logísticas.</w:t>
      </w:r>
    </w:p>
    <w:p w:rsidR="00872086" w:rsidRPr="00872086" w:rsidRDefault="00872086" w:rsidP="00872086">
      <w:pPr>
        <w:pStyle w:val="PargrafodaLista"/>
        <w:spacing w:after="200" w:line="240" w:lineRule="auto"/>
        <w:ind w:left="862"/>
        <w:jc w:val="both"/>
        <w:rPr>
          <w:rFonts w:ascii="Tahoma" w:hAnsi="Tahoma" w:cs="Tahoma"/>
          <w:sz w:val="24"/>
          <w:szCs w:val="24"/>
        </w:rPr>
      </w:pPr>
    </w:p>
    <w:p w:rsidR="00C865BB" w:rsidRDefault="00C865BB" w:rsidP="00C865BB">
      <w:pPr>
        <w:pStyle w:val="PargrafodaLista"/>
        <w:numPr>
          <w:ilvl w:val="0"/>
          <w:numId w:val="12"/>
        </w:numPr>
        <w:spacing w:line="240" w:lineRule="auto"/>
        <w:ind w:left="142" w:hanging="142"/>
        <w:jc w:val="both"/>
        <w:rPr>
          <w:rFonts w:ascii="Tahoma" w:hAnsi="Tahoma" w:cs="Tahoma"/>
          <w:sz w:val="24"/>
          <w:szCs w:val="24"/>
        </w:rPr>
      </w:pPr>
      <w:r w:rsidRPr="004D0C85">
        <w:rPr>
          <w:rFonts w:ascii="Tahoma" w:hAnsi="Tahoma" w:cs="Tahoma"/>
          <w:i/>
          <w:sz w:val="24"/>
          <w:szCs w:val="24"/>
        </w:rPr>
        <w:t xml:space="preserve">No domínio da </w:t>
      </w:r>
      <w:r>
        <w:rPr>
          <w:rFonts w:ascii="Tahoma" w:hAnsi="Tahoma" w:cs="Tahoma"/>
          <w:i/>
          <w:sz w:val="24"/>
          <w:szCs w:val="24"/>
        </w:rPr>
        <w:t>C</w:t>
      </w:r>
      <w:r w:rsidRPr="004D0C85">
        <w:rPr>
          <w:rFonts w:ascii="Tahoma" w:hAnsi="Tahoma" w:cs="Tahoma"/>
          <w:i/>
          <w:sz w:val="24"/>
          <w:szCs w:val="24"/>
        </w:rPr>
        <w:t>omercialização</w:t>
      </w:r>
      <w:r w:rsidRPr="004D0C85">
        <w:rPr>
          <w:rFonts w:ascii="Tahoma" w:hAnsi="Tahoma" w:cs="Tahoma"/>
          <w:sz w:val="24"/>
          <w:szCs w:val="24"/>
        </w:rPr>
        <w:t>:</w:t>
      </w:r>
    </w:p>
    <w:p w:rsidR="00872086" w:rsidRPr="004D0C85" w:rsidRDefault="00872086" w:rsidP="00872086">
      <w:pPr>
        <w:pStyle w:val="PargrafodaLista"/>
        <w:spacing w:line="240" w:lineRule="auto"/>
        <w:ind w:left="142"/>
        <w:jc w:val="both"/>
        <w:rPr>
          <w:rFonts w:ascii="Tahoma" w:hAnsi="Tahoma" w:cs="Tahoma"/>
          <w:sz w:val="24"/>
          <w:szCs w:val="24"/>
        </w:rPr>
      </w:pPr>
    </w:p>
    <w:p w:rsidR="00C865BB" w:rsidRDefault="00C865BB" w:rsidP="00872086">
      <w:pPr>
        <w:pStyle w:val="PargrafodaLista"/>
        <w:numPr>
          <w:ilvl w:val="0"/>
          <w:numId w:val="37"/>
        </w:numPr>
        <w:spacing w:after="200" w:line="240" w:lineRule="auto"/>
        <w:jc w:val="both"/>
        <w:rPr>
          <w:rFonts w:ascii="Tahoma" w:hAnsi="Tahoma" w:cs="Tahoma"/>
          <w:sz w:val="24"/>
          <w:szCs w:val="24"/>
        </w:rPr>
      </w:pPr>
      <w:r w:rsidRPr="004D0C85">
        <w:rPr>
          <w:rFonts w:ascii="Tahoma" w:hAnsi="Tahoma" w:cs="Tahoma"/>
          <w:sz w:val="24"/>
          <w:szCs w:val="24"/>
        </w:rPr>
        <w:t>Inser</w:t>
      </w:r>
      <w:r>
        <w:rPr>
          <w:rFonts w:ascii="Tahoma" w:hAnsi="Tahoma" w:cs="Tahoma"/>
          <w:sz w:val="24"/>
          <w:szCs w:val="24"/>
        </w:rPr>
        <w:t>ir</w:t>
      </w:r>
      <w:r w:rsidRPr="004D0C85">
        <w:rPr>
          <w:rFonts w:ascii="Tahoma" w:hAnsi="Tahoma" w:cs="Tahoma"/>
          <w:sz w:val="24"/>
          <w:szCs w:val="24"/>
        </w:rPr>
        <w:t xml:space="preserve"> operadores privados, com reconhecida competência, na cadeia logística da produção agrícola;</w:t>
      </w:r>
    </w:p>
    <w:p w:rsidR="00C865BB" w:rsidRDefault="00C865BB" w:rsidP="00872086">
      <w:pPr>
        <w:pStyle w:val="PargrafodaLista"/>
        <w:numPr>
          <w:ilvl w:val="0"/>
          <w:numId w:val="37"/>
        </w:numPr>
        <w:spacing w:after="200" w:line="240" w:lineRule="auto"/>
        <w:jc w:val="both"/>
        <w:rPr>
          <w:rFonts w:ascii="Tahoma" w:hAnsi="Tahoma" w:cs="Tahoma"/>
          <w:sz w:val="24"/>
          <w:szCs w:val="24"/>
        </w:rPr>
      </w:pPr>
      <w:r w:rsidRPr="00872086">
        <w:rPr>
          <w:rFonts w:ascii="Tahoma" w:hAnsi="Tahoma" w:cs="Tahoma"/>
          <w:sz w:val="24"/>
          <w:szCs w:val="24"/>
        </w:rPr>
        <w:t>Operacionalizar os centros de logística ao nível das províncias (CLODs) e municípios.</w:t>
      </w:r>
    </w:p>
    <w:p w:rsidR="00872086" w:rsidRPr="00872086" w:rsidRDefault="00872086" w:rsidP="00872086">
      <w:pPr>
        <w:pStyle w:val="PargrafodaLista"/>
        <w:spacing w:after="200" w:line="240" w:lineRule="auto"/>
        <w:ind w:left="862"/>
        <w:jc w:val="both"/>
        <w:rPr>
          <w:rFonts w:ascii="Tahoma" w:hAnsi="Tahoma" w:cs="Tahoma"/>
          <w:sz w:val="24"/>
          <w:szCs w:val="24"/>
        </w:rPr>
      </w:pPr>
    </w:p>
    <w:p w:rsidR="00C865BB" w:rsidRDefault="00C865BB" w:rsidP="00C865BB">
      <w:pPr>
        <w:pStyle w:val="PargrafodaLista"/>
        <w:numPr>
          <w:ilvl w:val="0"/>
          <w:numId w:val="12"/>
        </w:numPr>
        <w:spacing w:line="240" w:lineRule="auto"/>
        <w:ind w:left="142" w:hanging="142"/>
        <w:jc w:val="both"/>
        <w:rPr>
          <w:rFonts w:ascii="Tahoma" w:hAnsi="Tahoma" w:cs="Tahoma"/>
          <w:sz w:val="24"/>
          <w:szCs w:val="24"/>
        </w:rPr>
      </w:pPr>
      <w:r w:rsidRPr="004D0C85">
        <w:rPr>
          <w:rFonts w:ascii="Tahoma" w:hAnsi="Tahoma" w:cs="Tahoma"/>
          <w:i/>
          <w:sz w:val="24"/>
          <w:szCs w:val="24"/>
        </w:rPr>
        <w:t xml:space="preserve">No domínio </w:t>
      </w:r>
      <w:r>
        <w:rPr>
          <w:rFonts w:ascii="Tahoma" w:hAnsi="Tahoma" w:cs="Tahoma"/>
          <w:i/>
          <w:sz w:val="24"/>
          <w:szCs w:val="24"/>
        </w:rPr>
        <w:t>da captação de investimento estrangeiro</w:t>
      </w:r>
      <w:r w:rsidRPr="004D0C85">
        <w:rPr>
          <w:rFonts w:ascii="Tahoma" w:hAnsi="Tahoma" w:cs="Tahoma"/>
          <w:sz w:val="24"/>
          <w:szCs w:val="24"/>
        </w:rPr>
        <w:t>:</w:t>
      </w:r>
    </w:p>
    <w:p w:rsidR="00872086" w:rsidRPr="004D0C85" w:rsidRDefault="00872086" w:rsidP="00872086">
      <w:pPr>
        <w:pStyle w:val="PargrafodaLista"/>
        <w:spacing w:line="240" w:lineRule="auto"/>
        <w:ind w:left="142"/>
        <w:jc w:val="both"/>
        <w:rPr>
          <w:rFonts w:ascii="Tahoma" w:hAnsi="Tahoma" w:cs="Tahoma"/>
          <w:sz w:val="24"/>
          <w:szCs w:val="24"/>
        </w:rPr>
      </w:pPr>
    </w:p>
    <w:p w:rsidR="00C865BB" w:rsidRDefault="00C865BB" w:rsidP="00872086">
      <w:pPr>
        <w:pStyle w:val="PargrafodaLista"/>
        <w:numPr>
          <w:ilvl w:val="0"/>
          <w:numId w:val="38"/>
        </w:numPr>
        <w:spacing w:after="200" w:line="240" w:lineRule="auto"/>
        <w:jc w:val="both"/>
        <w:rPr>
          <w:rFonts w:ascii="Tahoma" w:hAnsi="Tahoma" w:cs="Tahoma"/>
          <w:sz w:val="24"/>
          <w:szCs w:val="24"/>
        </w:rPr>
      </w:pPr>
      <w:r>
        <w:rPr>
          <w:rFonts w:ascii="Tahoma" w:hAnsi="Tahoma" w:cs="Tahoma"/>
          <w:sz w:val="24"/>
          <w:szCs w:val="24"/>
        </w:rPr>
        <w:t xml:space="preserve">Ratificar </w:t>
      </w:r>
      <w:r w:rsidRPr="004D0C85">
        <w:rPr>
          <w:rFonts w:ascii="Tahoma" w:hAnsi="Tahoma" w:cs="Tahoma"/>
          <w:sz w:val="24"/>
          <w:szCs w:val="24"/>
        </w:rPr>
        <w:t xml:space="preserve">os Acordos de </w:t>
      </w:r>
      <w:r>
        <w:rPr>
          <w:rFonts w:ascii="Tahoma" w:hAnsi="Tahoma" w:cs="Tahoma"/>
          <w:sz w:val="24"/>
          <w:szCs w:val="24"/>
        </w:rPr>
        <w:t xml:space="preserve">Promoção e </w:t>
      </w:r>
      <w:r w:rsidRPr="00655BF7">
        <w:rPr>
          <w:rFonts w:ascii="Tahoma" w:hAnsi="Tahoma" w:cs="Tahoma"/>
          <w:sz w:val="24"/>
          <w:szCs w:val="24"/>
        </w:rPr>
        <w:t>Protecção Recíproca de Investimentos pendentes</w:t>
      </w:r>
      <w:r>
        <w:rPr>
          <w:rFonts w:ascii="Tahoma" w:hAnsi="Tahoma" w:cs="Tahoma"/>
          <w:sz w:val="24"/>
          <w:szCs w:val="24"/>
        </w:rPr>
        <w:t xml:space="preserve"> e assinar outros novos</w:t>
      </w:r>
      <w:r w:rsidRPr="00655BF7">
        <w:rPr>
          <w:rFonts w:ascii="Tahoma" w:hAnsi="Tahoma" w:cs="Tahoma"/>
          <w:sz w:val="24"/>
          <w:szCs w:val="24"/>
        </w:rPr>
        <w:t>;</w:t>
      </w:r>
    </w:p>
    <w:p w:rsidR="00C865BB" w:rsidRDefault="00C865BB" w:rsidP="00872086">
      <w:pPr>
        <w:pStyle w:val="PargrafodaLista"/>
        <w:numPr>
          <w:ilvl w:val="0"/>
          <w:numId w:val="38"/>
        </w:numPr>
        <w:spacing w:after="200" w:line="240" w:lineRule="auto"/>
        <w:jc w:val="both"/>
        <w:rPr>
          <w:rFonts w:ascii="Tahoma" w:hAnsi="Tahoma" w:cs="Tahoma"/>
          <w:sz w:val="24"/>
          <w:szCs w:val="24"/>
        </w:rPr>
      </w:pPr>
      <w:r w:rsidRPr="00872086">
        <w:rPr>
          <w:rFonts w:ascii="Tahoma" w:hAnsi="Tahoma" w:cs="Tahoma"/>
          <w:sz w:val="24"/>
          <w:szCs w:val="24"/>
        </w:rPr>
        <w:t>Divulgar amplamente os Programas Dirigidos para a promoção de exportações e de aumento da produção interna, em particular dos produtos da cesta básica;</w:t>
      </w:r>
    </w:p>
    <w:p w:rsidR="00C865BB" w:rsidRDefault="00C865BB" w:rsidP="00872086">
      <w:pPr>
        <w:pStyle w:val="PargrafodaLista"/>
        <w:numPr>
          <w:ilvl w:val="0"/>
          <w:numId w:val="38"/>
        </w:numPr>
        <w:spacing w:after="200" w:line="240" w:lineRule="auto"/>
        <w:jc w:val="both"/>
        <w:rPr>
          <w:rFonts w:ascii="Tahoma" w:hAnsi="Tahoma" w:cs="Tahoma"/>
          <w:sz w:val="24"/>
          <w:szCs w:val="24"/>
        </w:rPr>
      </w:pPr>
      <w:r w:rsidRPr="00872086">
        <w:rPr>
          <w:rFonts w:ascii="Tahoma" w:hAnsi="Tahoma" w:cs="Tahoma"/>
          <w:sz w:val="24"/>
          <w:szCs w:val="24"/>
        </w:rPr>
        <w:t>Definir o paradigma e implementar Acordos para evitar a Dupla Tributação;</w:t>
      </w:r>
    </w:p>
    <w:p w:rsidR="00C865BB" w:rsidRDefault="00C865BB" w:rsidP="00872086">
      <w:pPr>
        <w:pStyle w:val="PargrafodaLista"/>
        <w:numPr>
          <w:ilvl w:val="0"/>
          <w:numId w:val="38"/>
        </w:numPr>
        <w:spacing w:after="200" w:line="240" w:lineRule="auto"/>
        <w:jc w:val="both"/>
        <w:rPr>
          <w:rFonts w:ascii="Tahoma" w:hAnsi="Tahoma" w:cs="Tahoma"/>
          <w:sz w:val="24"/>
          <w:szCs w:val="24"/>
        </w:rPr>
      </w:pPr>
      <w:r w:rsidRPr="00872086">
        <w:rPr>
          <w:rFonts w:ascii="Tahoma" w:hAnsi="Tahoma" w:cs="Tahoma"/>
          <w:sz w:val="24"/>
          <w:szCs w:val="24"/>
        </w:rPr>
        <w:t>Facilitar o acesso a terrenos infra-estruturados, ou não, para os promotores e investidores externos;</w:t>
      </w:r>
    </w:p>
    <w:p w:rsidR="00C865BB" w:rsidRDefault="00C865BB" w:rsidP="00872086">
      <w:pPr>
        <w:pStyle w:val="PargrafodaLista"/>
        <w:numPr>
          <w:ilvl w:val="0"/>
          <w:numId w:val="38"/>
        </w:numPr>
        <w:spacing w:after="200" w:line="240" w:lineRule="auto"/>
        <w:jc w:val="both"/>
        <w:rPr>
          <w:rFonts w:ascii="Tahoma" w:hAnsi="Tahoma" w:cs="Tahoma"/>
          <w:sz w:val="24"/>
          <w:szCs w:val="24"/>
        </w:rPr>
      </w:pPr>
      <w:r w:rsidRPr="00872086">
        <w:rPr>
          <w:rFonts w:ascii="Tahoma" w:hAnsi="Tahoma" w:cs="Tahoma"/>
          <w:sz w:val="24"/>
          <w:szCs w:val="24"/>
        </w:rPr>
        <w:t>Estabelecer mecanismos de qualidade e de ampla difusão para a comunicação das potencialidades e de “como fazer negócios” em Angola e da nova Lei do Investimento Privado;</w:t>
      </w:r>
    </w:p>
    <w:p w:rsidR="00C865BB" w:rsidRDefault="00C865BB" w:rsidP="00872086">
      <w:pPr>
        <w:pStyle w:val="PargrafodaLista"/>
        <w:numPr>
          <w:ilvl w:val="0"/>
          <w:numId w:val="38"/>
        </w:numPr>
        <w:spacing w:after="200" w:line="240" w:lineRule="auto"/>
        <w:jc w:val="both"/>
        <w:rPr>
          <w:rFonts w:ascii="Tahoma" w:hAnsi="Tahoma" w:cs="Tahoma"/>
          <w:sz w:val="24"/>
          <w:szCs w:val="24"/>
        </w:rPr>
      </w:pPr>
      <w:r w:rsidRPr="00872086">
        <w:rPr>
          <w:rFonts w:ascii="Tahoma" w:hAnsi="Tahoma" w:cs="Tahoma"/>
          <w:sz w:val="24"/>
          <w:szCs w:val="24"/>
        </w:rPr>
        <w:t>Facilitar a obtenção de vistos;</w:t>
      </w:r>
    </w:p>
    <w:p w:rsidR="00C865BB" w:rsidRDefault="00C865BB" w:rsidP="00872086">
      <w:pPr>
        <w:pStyle w:val="PargrafodaLista"/>
        <w:numPr>
          <w:ilvl w:val="0"/>
          <w:numId w:val="38"/>
        </w:numPr>
        <w:spacing w:after="200" w:line="240" w:lineRule="auto"/>
        <w:jc w:val="both"/>
        <w:rPr>
          <w:rFonts w:ascii="Tahoma" w:hAnsi="Tahoma" w:cs="Tahoma"/>
          <w:sz w:val="24"/>
          <w:szCs w:val="24"/>
        </w:rPr>
      </w:pPr>
      <w:r w:rsidRPr="00872086">
        <w:rPr>
          <w:rFonts w:ascii="Tahoma" w:hAnsi="Tahoma" w:cs="Tahoma"/>
          <w:sz w:val="24"/>
          <w:szCs w:val="24"/>
        </w:rPr>
        <w:t>Facilitar e estimular parcerias entre investidores privados estrangeiros e nacionais.</w:t>
      </w:r>
    </w:p>
    <w:p w:rsidR="00872086" w:rsidRPr="00872086" w:rsidRDefault="00872086" w:rsidP="00872086">
      <w:pPr>
        <w:pStyle w:val="PargrafodaLista"/>
        <w:spacing w:after="200" w:line="240" w:lineRule="auto"/>
        <w:ind w:left="862"/>
        <w:jc w:val="both"/>
        <w:rPr>
          <w:rFonts w:ascii="Tahoma" w:hAnsi="Tahoma" w:cs="Tahoma"/>
          <w:sz w:val="24"/>
          <w:szCs w:val="24"/>
        </w:rPr>
      </w:pPr>
    </w:p>
    <w:p w:rsidR="00C865BB" w:rsidRPr="006A02FA" w:rsidRDefault="00C865BB" w:rsidP="00C865BB">
      <w:pPr>
        <w:pStyle w:val="PargrafodaLista"/>
        <w:numPr>
          <w:ilvl w:val="0"/>
          <w:numId w:val="12"/>
        </w:numPr>
        <w:spacing w:after="120" w:line="240" w:lineRule="auto"/>
        <w:ind w:left="142" w:hanging="142"/>
        <w:contextualSpacing w:val="0"/>
        <w:jc w:val="both"/>
        <w:rPr>
          <w:rFonts w:ascii="Tahoma" w:hAnsi="Tahoma" w:cs="Tahoma"/>
          <w:sz w:val="24"/>
          <w:szCs w:val="24"/>
        </w:rPr>
      </w:pPr>
      <w:r w:rsidRPr="004D0C85">
        <w:rPr>
          <w:rFonts w:ascii="Tahoma" w:hAnsi="Tahoma" w:cs="Tahoma"/>
          <w:i/>
          <w:sz w:val="24"/>
          <w:szCs w:val="24"/>
        </w:rPr>
        <w:t xml:space="preserve">No domínio </w:t>
      </w:r>
      <w:r>
        <w:rPr>
          <w:rFonts w:ascii="Tahoma" w:hAnsi="Tahoma" w:cs="Tahoma"/>
          <w:i/>
          <w:sz w:val="24"/>
          <w:szCs w:val="24"/>
        </w:rPr>
        <w:t>do capital humano</w:t>
      </w:r>
      <w:r w:rsidRPr="004D0C85">
        <w:rPr>
          <w:rFonts w:ascii="Tahoma" w:hAnsi="Tahoma" w:cs="Tahoma"/>
          <w:sz w:val="24"/>
          <w:szCs w:val="24"/>
        </w:rPr>
        <w:t>:</w:t>
      </w:r>
      <w:r>
        <w:rPr>
          <w:rFonts w:ascii="Tahoma" w:hAnsi="Tahoma" w:cs="Tahoma"/>
          <w:sz w:val="24"/>
          <w:szCs w:val="24"/>
        </w:rPr>
        <w:t xml:space="preserve"> </w:t>
      </w:r>
      <w:r w:rsidRPr="006A02FA">
        <w:rPr>
          <w:rFonts w:ascii="Tahoma" w:hAnsi="Tahoma" w:cs="Tahoma"/>
          <w:sz w:val="24"/>
          <w:szCs w:val="24"/>
        </w:rPr>
        <w:t xml:space="preserve">A melhoria da qualidade do capital humano, abrevia o processo de redução dos custos de operação em Angola que se deverão traduzir em maior competitividade, devendo esta formação e capacitação dos quadros nacionais estar alinhada às orientações do Programa Nacional de Formação de Quadros e necessidades do mercado de trabalho, através da oferta de formação vocacional orientada aos </w:t>
      </w:r>
      <w:r>
        <w:rPr>
          <w:rFonts w:ascii="Tahoma" w:hAnsi="Tahoma" w:cs="Tahoma"/>
          <w:sz w:val="24"/>
          <w:szCs w:val="24"/>
        </w:rPr>
        <w:t>Programas Dirigidos definidos.</w:t>
      </w:r>
    </w:p>
    <w:p w:rsidR="00C865BB" w:rsidRDefault="00C865BB" w:rsidP="00C865BB">
      <w:pPr>
        <w:pStyle w:val="PargrafodaLista"/>
        <w:numPr>
          <w:ilvl w:val="0"/>
          <w:numId w:val="12"/>
        </w:numPr>
        <w:spacing w:after="120" w:line="240" w:lineRule="auto"/>
        <w:ind w:left="142" w:hanging="142"/>
        <w:contextualSpacing w:val="0"/>
        <w:jc w:val="both"/>
        <w:rPr>
          <w:rFonts w:ascii="Tahoma" w:hAnsi="Tahoma" w:cs="Tahoma"/>
          <w:sz w:val="24"/>
          <w:szCs w:val="24"/>
        </w:rPr>
      </w:pPr>
      <w:r w:rsidRPr="00B95513">
        <w:rPr>
          <w:rFonts w:ascii="Tahoma" w:hAnsi="Tahoma" w:cs="Tahoma"/>
          <w:i/>
          <w:sz w:val="24"/>
          <w:szCs w:val="24"/>
        </w:rPr>
        <w:t xml:space="preserve"> </w:t>
      </w:r>
      <w:r w:rsidRPr="006A02FA">
        <w:rPr>
          <w:rFonts w:ascii="Tahoma" w:hAnsi="Tahoma" w:cs="Tahoma"/>
          <w:i/>
          <w:sz w:val="24"/>
          <w:szCs w:val="24"/>
        </w:rPr>
        <w:t>No domínio da melhoria do Ambiente de Negócios</w:t>
      </w:r>
      <w:r>
        <w:rPr>
          <w:rFonts w:ascii="Tahoma" w:hAnsi="Tahoma" w:cs="Tahoma"/>
          <w:i/>
          <w:sz w:val="24"/>
          <w:szCs w:val="24"/>
        </w:rPr>
        <w:t xml:space="preserve"> e da melhoria da posição de Angola nos “rankings” internacionais de competitividade:</w:t>
      </w:r>
      <w:r w:rsidRPr="00B95513">
        <w:rPr>
          <w:rFonts w:ascii="Tahoma" w:hAnsi="Tahoma" w:cs="Tahoma"/>
          <w:i/>
          <w:sz w:val="24"/>
          <w:szCs w:val="24"/>
        </w:rPr>
        <w:t xml:space="preserve"> </w:t>
      </w:r>
      <w:r w:rsidRPr="00B95513">
        <w:rPr>
          <w:rFonts w:ascii="Tahoma" w:hAnsi="Tahoma" w:cs="Tahoma"/>
          <w:sz w:val="24"/>
          <w:szCs w:val="24"/>
        </w:rPr>
        <w:t>é prioritária a actuação nas áreas de i) Registo de Propriedade; ii) Execução de Contratos; iii) Acesso à Electricidade; iv) Facilidade no comércio externo; v) Resolução de Insolvência, e; vi) Alvará de construção.</w:t>
      </w:r>
    </w:p>
    <w:p w:rsidR="00C865BB" w:rsidRPr="00B95513" w:rsidRDefault="00C865BB" w:rsidP="00C865BB">
      <w:pPr>
        <w:pStyle w:val="PargrafodaLista"/>
        <w:spacing w:after="120" w:line="240" w:lineRule="auto"/>
        <w:ind w:left="142" w:hanging="142"/>
        <w:contextualSpacing w:val="0"/>
        <w:jc w:val="both"/>
        <w:rPr>
          <w:rFonts w:ascii="Tahoma" w:hAnsi="Tahoma" w:cs="Tahoma"/>
          <w:sz w:val="24"/>
          <w:szCs w:val="24"/>
        </w:rPr>
      </w:pPr>
    </w:p>
    <w:p w:rsidR="00C865BB" w:rsidRPr="00B66656" w:rsidRDefault="00C865BB" w:rsidP="00C865BB">
      <w:pPr>
        <w:spacing w:after="120" w:line="240" w:lineRule="auto"/>
        <w:ind w:left="142" w:right="-488" w:hanging="142"/>
        <w:jc w:val="both"/>
        <w:rPr>
          <w:rFonts w:ascii="Tahoma" w:hAnsi="Tahoma" w:cs="Tahoma"/>
          <w:sz w:val="24"/>
          <w:szCs w:val="24"/>
          <w:lang w:eastAsia="ja-JP"/>
        </w:rPr>
      </w:pPr>
      <w:r w:rsidRPr="00B66656">
        <w:rPr>
          <w:rFonts w:ascii="Tahoma" w:hAnsi="Tahoma" w:cs="Tahoma"/>
          <w:sz w:val="24"/>
          <w:szCs w:val="24"/>
          <w:lang w:eastAsia="ja-JP"/>
        </w:rPr>
        <w:t>Luanda, 1</w:t>
      </w:r>
      <w:r>
        <w:rPr>
          <w:rFonts w:ascii="Tahoma" w:hAnsi="Tahoma" w:cs="Tahoma"/>
          <w:sz w:val="24"/>
          <w:szCs w:val="24"/>
          <w:lang w:eastAsia="ja-JP"/>
        </w:rPr>
        <w:t>6</w:t>
      </w:r>
      <w:r w:rsidRPr="00B66656">
        <w:rPr>
          <w:rFonts w:ascii="Tahoma" w:hAnsi="Tahoma" w:cs="Tahoma"/>
          <w:sz w:val="24"/>
          <w:szCs w:val="24"/>
          <w:lang w:eastAsia="ja-JP"/>
        </w:rPr>
        <w:t xml:space="preserve"> de Janeiro de 2016</w:t>
      </w:r>
      <w:r>
        <w:rPr>
          <w:rFonts w:ascii="Tahoma" w:hAnsi="Tahoma" w:cs="Tahoma"/>
          <w:sz w:val="24"/>
          <w:szCs w:val="24"/>
          <w:lang w:eastAsia="ja-JP"/>
        </w:rPr>
        <w:t>.-</w:t>
      </w:r>
    </w:p>
    <w:p w:rsidR="00332BFC" w:rsidRDefault="00332BFC" w:rsidP="00C865BB">
      <w:pPr>
        <w:ind w:left="142" w:hanging="142"/>
      </w:pPr>
    </w:p>
    <w:sectPr w:rsidR="00332BFC" w:rsidSect="0064603E">
      <w:footerReference w:type="default" r:id="rId7"/>
      <w:pgSz w:w="11900" w:h="16840"/>
      <w:pgMar w:top="1418" w:right="1418" w:bottom="1418"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2758457"/>
      <w:docPartObj>
        <w:docPartGallery w:val="Page Numbers (Bottom of Page)"/>
        <w:docPartUnique/>
      </w:docPartObj>
    </w:sdtPr>
    <w:sdtEndPr/>
    <w:sdtContent>
      <w:p w:rsidR="0077474B" w:rsidRDefault="000B1190">
        <w:pPr>
          <w:pStyle w:val="Rodap"/>
          <w:jc w:val="right"/>
        </w:pPr>
        <w:r>
          <w:fldChar w:fldCharType="begin"/>
        </w:r>
        <w:r>
          <w:instrText xml:space="preserve">PAGE   </w:instrText>
        </w:r>
        <w:r>
          <w:instrText>\* MERGEFORMAT</w:instrText>
        </w:r>
        <w:r>
          <w:fldChar w:fldCharType="separate"/>
        </w:r>
        <w:r>
          <w:rPr>
            <w:noProof/>
          </w:rPr>
          <w:t>18</w:t>
        </w:r>
        <w:r>
          <w:fldChar w:fldCharType="end"/>
        </w:r>
      </w:p>
    </w:sdtContent>
  </w:sdt>
  <w:p w:rsidR="0077474B" w:rsidRDefault="000B1190">
    <w:pPr>
      <w:pStyle w:val="Rodap"/>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C42F2"/>
    <w:multiLevelType w:val="hybridMultilevel"/>
    <w:tmpl w:val="EFBA7808"/>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1">
    <w:nsid w:val="06812989"/>
    <w:multiLevelType w:val="hybridMultilevel"/>
    <w:tmpl w:val="C46C1426"/>
    <w:lvl w:ilvl="0" w:tplc="08160001">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19">
      <w:start w:val="1"/>
      <w:numFmt w:val="lowerLetter"/>
      <w:lvlText w:val="%3."/>
      <w:lvlJc w:val="left"/>
      <w:pPr>
        <w:ind w:left="2160" w:hanging="360"/>
      </w:pPr>
      <w:rPr>
        <w:rFonts w:hint="default"/>
      </w:rPr>
    </w:lvl>
    <w:lvl w:ilvl="3" w:tplc="08160001">
      <w:start w:val="1"/>
      <w:numFmt w:val="bullet"/>
      <w:lvlText w:val=""/>
      <w:lvlJc w:val="left"/>
      <w:pPr>
        <w:ind w:left="2880" w:hanging="360"/>
      </w:pPr>
      <w:rPr>
        <w:rFonts w:ascii="Symbol" w:hAnsi="Symbol" w:hint="default"/>
      </w:rPr>
    </w:lvl>
    <w:lvl w:ilvl="4" w:tplc="9570837C">
      <w:start w:val="1"/>
      <w:numFmt w:val="upperLetter"/>
      <w:lvlText w:val="%5."/>
      <w:lvlJc w:val="left"/>
      <w:pPr>
        <w:ind w:left="1211" w:hanging="360"/>
      </w:pPr>
      <w:rPr>
        <w:rFonts w:hint="default"/>
        <w:b/>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nsid w:val="0AEA772A"/>
    <w:multiLevelType w:val="hybridMultilevel"/>
    <w:tmpl w:val="F0D48E9A"/>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nsid w:val="0BF3288B"/>
    <w:multiLevelType w:val="hybridMultilevel"/>
    <w:tmpl w:val="822435DA"/>
    <w:lvl w:ilvl="0" w:tplc="A15E2F00">
      <w:start w:val="1"/>
      <w:numFmt w:val="decimal"/>
      <w:lvlText w:val="%1."/>
      <w:lvlJc w:val="left"/>
      <w:pPr>
        <w:ind w:left="360" w:hanging="360"/>
      </w:pPr>
      <w:rPr>
        <w:rFonts w:ascii="Tahoma" w:hAnsi="Tahoma" w:cs="Tahoma" w:hint="default"/>
        <w:b w:val="0"/>
        <w:i w:val="0"/>
        <w:sz w:val="24"/>
        <w:szCs w:val="24"/>
      </w:rPr>
    </w:lvl>
    <w:lvl w:ilvl="1" w:tplc="08160001">
      <w:start w:val="1"/>
      <w:numFmt w:val="bullet"/>
      <w:lvlText w:val=""/>
      <w:lvlJc w:val="left"/>
      <w:pPr>
        <w:ind w:left="1800" w:hanging="720"/>
      </w:pPr>
      <w:rPr>
        <w:rFonts w:ascii="Symbol" w:hAnsi="Symbol" w:hint="default"/>
      </w:r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nsid w:val="0D645F8F"/>
    <w:multiLevelType w:val="hybridMultilevel"/>
    <w:tmpl w:val="7A54496E"/>
    <w:lvl w:ilvl="0" w:tplc="08160001">
      <w:start w:val="1"/>
      <w:numFmt w:val="bullet"/>
      <w:lvlText w:val=""/>
      <w:lvlJc w:val="left"/>
      <w:pPr>
        <w:ind w:left="2880" w:hanging="360"/>
      </w:pPr>
      <w:rPr>
        <w:rFonts w:ascii="Symbol" w:hAnsi="Symbol" w:hint="default"/>
      </w:rPr>
    </w:lvl>
    <w:lvl w:ilvl="1" w:tplc="08160003" w:tentative="1">
      <w:start w:val="1"/>
      <w:numFmt w:val="bullet"/>
      <w:lvlText w:val="o"/>
      <w:lvlJc w:val="left"/>
      <w:pPr>
        <w:ind w:left="3600" w:hanging="360"/>
      </w:pPr>
      <w:rPr>
        <w:rFonts w:ascii="Courier New" w:hAnsi="Courier New" w:cs="Courier New" w:hint="default"/>
      </w:rPr>
    </w:lvl>
    <w:lvl w:ilvl="2" w:tplc="08160005" w:tentative="1">
      <w:start w:val="1"/>
      <w:numFmt w:val="bullet"/>
      <w:lvlText w:val=""/>
      <w:lvlJc w:val="left"/>
      <w:pPr>
        <w:ind w:left="4320" w:hanging="360"/>
      </w:pPr>
      <w:rPr>
        <w:rFonts w:ascii="Wingdings" w:hAnsi="Wingdings" w:hint="default"/>
      </w:rPr>
    </w:lvl>
    <w:lvl w:ilvl="3" w:tplc="08160001" w:tentative="1">
      <w:start w:val="1"/>
      <w:numFmt w:val="bullet"/>
      <w:lvlText w:val=""/>
      <w:lvlJc w:val="left"/>
      <w:pPr>
        <w:ind w:left="5040" w:hanging="360"/>
      </w:pPr>
      <w:rPr>
        <w:rFonts w:ascii="Symbol" w:hAnsi="Symbol" w:hint="default"/>
      </w:rPr>
    </w:lvl>
    <w:lvl w:ilvl="4" w:tplc="08160003" w:tentative="1">
      <w:start w:val="1"/>
      <w:numFmt w:val="bullet"/>
      <w:lvlText w:val="o"/>
      <w:lvlJc w:val="left"/>
      <w:pPr>
        <w:ind w:left="5760" w:hanging="360"/>
      </w:pPr>
      <w:rPr>
        <w:rFonts w:ascii="Courier New" w:hAnsi="Courier New" w:cs="Courier New" w:hint="default"/>
      </w:rPr>
    </w:lvl>
    <w:lvl w:ilvl="5" w:tplc="08160005" w:tentative="1">
      <w:start w:val="1"/>
      <w:numFmt w:val="bullet"/>
      <w:lvlText w:val=""/>
      <w:lvlJc w:val="left"/>
      <w:pPr>
        <w:ind w:left="6480" w:hanging="360"/>
      </w:pPr>
      <w:rPr>
        <w:rFonts w:ascii="Wingdings" w:hAnsi="Wingdings" w:hint="default"/>
      </w:rPr>
    </w:lvl>
    <w:lvl w:ilvl="6" w:tplc="08160001" w:tentative="1">
      <w:start w:val="1"/>
      <w:numFmt w:val="bullet"/>
      <w:lvlText w:val=""/>
      <w:lvlJc w:val="left"/>
      <w:pPr>
        <w:ind w:left="7200" w:hanging="360"/>
      </w:pPr>
      <w:rPr>
        <w:rFonts w:ascii="Symbol" w:hAnsi="Symbol" w:hint="default"/>
      </w:rPr>
    </w:lvl>
    <w:lvl w:ilvl="7" w:tplc="08160003" w:tentative="1">
      <w:start w:val="1"/>
      <w:numFmt w:val="bullet"/>
      <w:lvlText w:val="o"/>
      <w:lvlJc w:val="left"/>
      <w:pPr>
        <w:ind w:left="7920" w:hanging="360"/>
      </w:pPr>
      <w:rPr>
        <w:rFonts w:ascii="Courier New" w:hAnsi="Courier New" w:cs="Courier New" w:hint="default"/>
      </w:rPr>
    </w:lvl>
    <w:lvl w:ilvl="8" w:tplc="08160005" w:tentative="1">
      <w:start w:val="1"/>
      <w:numFmt w:val="bullet"/>
      <w:lvlText w:val=""/>
      <w:lvlJc w:val="left"/>
      <w:pPr>
        <w:ind w:left="8640" w:hanging="360"/>
      </w:pPr>
      <w:rPr>
        <w:rFonts w:ascii="Wingdings" w:hAnsi="Wingdings" w:hint="default"/>
      </w:rPr>
    </w:lvl>
  </w:abstractNum>
  <w:abstractNum w:abstractNumId="5">
    <w:nsid w:val="101C3FAE"/>
    <w:multiLevelType w:val="hybridMultilevel"/>
    <w:tmpl w:val="3DD22E5C"/>
    <w:lvl w:ilvl="0" w:tplc="F252B990">
      <w:start w:val="2"/>
      <w:numFmt w:val="upperLetter"/>
      <w:lvlText w:val="%1."/>
      <w:lvlJc w:val="left"/>
      <w:pPr>
        <w:ind w:left="1776" w:hanging="360"/>
      </w:pPr>
      <w:rPr>
        <w:rFonts w:hint="default"/>
      </w:rPr>
    </w:lvl>
    <w:lvl w:ilvl="1" w:tplc="08160019" w:tentative="1">
      <w:start w:val="1"/>
      <w:numFmt w:val="lowerLetter"/>
      <w:lvlText w:val="%2."/>
      <w:lvlJc w:val="left"/>
      <w:pPr>
        <w:ind w:left="2496" w:hanging="360"/>
      </w:pPr>
    </w:lvl>
    <w:lvl w:ilvl="2" w:tplc="0816001B" w:tentative="1">
      <w:start w:val="1"/>
      <w:numFmt w:val="lowerRoman"/>
      <w:lvlText w:val="%3."/>
      <w:lvlJc w:val="right"/>
      <w:pPr>
        <w:ind w:left="3216" w:hanging="180"/>
      </w:pPr>
    </w:lvl>
    <w:lvl w:ilvl="3" w:tplc="0816000F" w:tentative="1">
      <w:start w:val="1"/>
      <w:numFmt w:val="decimal"/>
      <w:lvlText w:val="%4."/>
      <w:lvlJc w:val="left"/>
      <w:pPr>
        <w:ind w:left="3936" w:hanging="360"/>
      </w:pPr>
    </w:lvl>
    <w:lvl w:ilvl="4" w:tplc="08160019" w:tentative="1">
      <w:start w:val="1"/>
      <w:numFmt w:val="lowerLetter"/>
      <w:lvlText w:val="%5."/>
      <w:lvlJc w:val="left"/>
      <w:pPr>
        <w:ind w:left="4656" w:hanging="360"/>
      </w:pPr>
    </w:lvl>
    <w:lvl w:ilvl="5" w:tplc="0816001B" w:tentative="1">
      <w:start w:val="1"/>
      <w:numFmt w:val="lowerRoman"/>
      <w:lvlText w:val="%6."/>
      <w:lvlJc w:val="right"/>
      <w:pPr>
        <w:ind w:left="5376" w:hanging="180"/>
      </w:pPr>
    </w:lvl>
    <w:lvl w:ilvl="6" w:tplc="0816000F" w:tentative="1">
      <w:start w:val="1"/>
      <w:numFmt w:val="decimal"/>
      <w:lvlText w:val="%7."/>
      <w:lvlJc w:val="left"/>
      <w:pPr>
        <w:ind w:left="6096" w:hanging="360"/>
      </w:pPr>
    </w:lvl>
    <w:lvl w:ilvl="7" w:tplc="08160019" w:tentative="1">
      <w:start w:val="1"/>
      <w:numFmt w:val="lowerLetter"/>
      <w:lvlText w:val="%8."/>
      <w:lvlJc w:val="left"/>
      <w:pPr>
        <w:ind w:left="6816" w:hanging="360"/>
      </w:pPr>
    </w:lvl>
    <w:lvl w:ilvl="8" w:tplc="0816001B" w:tentative="1">
      <w:start w:val="1"/>
      <w:numFmt w:val="lowerRoman"/>
      <w:lvlText w:val="%9."/>
      <w:lvlJc w:val="right"/>
      <w:pPr>
        <w:ind w:left="7536" w:hanging="180"/>
      </w:pPr>
    </w:lvl>
  </w:abstractNum>
  <w:abstractNum w:abstractNumId="6">
    <w:nsid w:val="11214D65"/>
    <w:multiLevelType w:val="hybridMultilevel"/>
    <w:tmpl w:val="D4C657C2"/>
    <w:lvl w:ilvl="0" w:tplc="08160001">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7">
    <w:nsid w:val="12BA2D6E"/>
    <w:multiLevelType w:val="hybridMultilevel"/>
    <w:tmpl w:val="21588350"/>
    <w:lvl w:ilvl="0" w:tplc="08160001">
      <w:start w:val="1"/>
      <w:numFmt w:val="bullet"/>
      <w:lvlText w:val=""/>
      <w:lvlJc w:val="left"/>
      <w:pPr>
        <w:ind w:left="2136" w:hanging="360"/>
      </w:pPr>
      <w:rPr>
        <w:rFonts w:ascii="Symbol" w:hAnsi="Symbol" w:hint="default"/>
      </w:rPr>
    </w:lvl>
    <w:lvl w:ilvl="1" w:tplc="08160003" w:tentative="1">
      <w:start w:val="1"/>
      <w:numFmt w:val="bullet"/>
      <w:lvlText w:val="o"/>
      <w:lvlJc w:val="left"/>
      <w:pPr>
        <w:ind w:left="2856" w:hanging="360"/>
      </w:pPr>
      <w:rPr>
        <w:rFonts w:ascii="Courier New" w:hAnsi="Courier New" w:cs="Courier New" w:hint="default"/>
      </w:rPr>
    </w:lvl>
    <w:lvl w:ilvl="2" w:tplc="08160005" w:tentative="1">
      <w:start w:val="1"/>
      <w:numFmt w:val="bullet"/>
      <w:lvlText w:val=""/>
      <w:lvlJc w:val="left"/>
      <w:pPr>
        <w:ind w:left="3576" w:hanging="360"/>
      </w:pPr>
      <w:rPr>
        <w:rFonts w:ascii="Wingdings" w:hAnsi="Wingdings" w:hint="default"/>
      </w:rPr>
    </w:lvl>
    <w:lvl w:ilvl="3" w:tplc="08160001" w:tentative="1">
      <w:start w:val="1"/>
      <w:numFmt w:val="bullet"/>
      <w:lvlText w:val=""/>
      <w:lvlJc w:val="left"/>
      <w:pPr>
        <w:ind w:left="4296" w:hanging="360"/>
      </w:pPr>
      <w:rPr>
        <w:rFonts w:ascii="Symbol" w:hAnsi="Symbol" w:hint="default"/>
      </w:rPr>
    </w:lvl>
    <w:lvl w:ilvl="4" w:tplc="08160003" w:tentative="1">
      <w:start w:val="1"/>
      <w:numFmt w:val="bullet"/>
      <w:lvlText w:val="o"/>
      <w:lvlJc w:val="left"/>
      <w:pPr>
        <w:ind w:left="5016" w:hanging="360"/>
      </w:pPr>
      <w:rPr>
        <w:rFonts w:ascii="Courier New" w:hAnsi="Courier New" w:cs="Courier New" w:hint="default"/>
      </w:rPr>
    </w:lvl>
    <w:lvl w:ilvl="5" w:tplc="08160005" w:tentative="1">
      <w:start w:val="1"/>
      <w:numFmt w:val="bullet"/>
      <w:lvlText w:val=""/>
      <w:lvlJc w:val="left"/>
      <w:pPr>
        <w:ind w:left="5736" w:hanging="360"/>
      </w:pPr>
      <w:rPr>
        <w:rFonts w:ascii="Wingdings" w:hAnsi="Wingdings" w:hint="default"/>
      </w:rPr>
    </w:lvl>
    <w:lvl w:ilvl="6" w:tplc="08160001" w:tentative="1">
      <w:start w:val="1"/>
      <w:numFmt w:val="bullet"/>
      <w:lvlText w:val=""/>
      <w:lvlJc w:val="left"/>
      <w:pPr>
        <w:ind w:left="6456" w:hanging="360"/>
      </w:pPr>
      <w:rPr>
        <w:rFonts w:ascii="Symbol" w:hAnsi="Symbol" w:hint="default"/>
      </w:rPr>
    </w:lvl>
    <w:lvl w:ilvl="7" w:tplc="08160003" w:tentative="1">
      <w:start w:val="1"/>
      <w:numFmt w:val="bullet"/>
      <w:lvlText w:val="o"/>
      <w:lvlJc w:val="left"/>
      <w:pPr>
        <w:ind w:left="7176" w:hanging="360"/>
      </w:pPr>
      <w:rPr>
        <w:rFonts w:ascii="Courier New" w:hAnsi="Courier New" w:cs="Courier New" w:hint="default"/>
      </w:rPr>
    </w:lvl>
    <w:lvl w:ilvl="8" w:tplc="08160005" w:tentative="1">
      <w:start w:val="1"/>
      <w:numFmt w:val="bullet"/>
      <w:lvlText w:val=""/>
      <w:lvlJc w:val="left"/>
      <w:pPr>
        <w:ind w:left="7896" w:hanging="360"/>
      </w:pPr>
      <w:rPr>
        <w:rFonts w:ascii="Wingdings" w:hAnsi="Wingdings" w:hint="default"/>
      </w:rPr>
    </w:lvl>
  </w:abstractNum>
  <w:abstractNum w:abstractNumId="8">
    <w:nsid w:val="168D43F0"/>
    <w:multiLevelType w:val="hybridMultilevel"/>
    <w:tmpl w:val="2666A280"/>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9">
    <w:nsid w:val="17500825"/>
    <w:multiLevelType w:val="hybridMultilevel"/>
    <w:tmpl w:val="233CFB44"/>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10">
    <w:nsid w:val="19E4740C"/>
    <w:multiLevelType w:val="multilevel"/>
    <w:tmpl w:val="CC5EBF30"/>
    <w:lvl w:ilvl="0">
      <w:start w:val="2"/>
      <w:numFmt w:val="decimal"/>
      <w:lvlText w:val="%1."/>
      <w:lvlJc w:val="left"/>
      <w:pPr>
        <w:ind w:left="540" w:hanging="540"/>
      </w:pPr>
      <w:rPr>
        <w:rFonts w:eastAsia="Trebuchet MS" w:cs="Times New Roman" w:hint="default"/>
      </w:rPr>
    </w:lvl>
    <w:lvl w:ilvl="1">
      <w:start w:val="1"/>
      <w:numFmt w:val="decimal"/>
      <w:lvlText w:val="%1.%2."/>
      <w:lvlJc w:val="left"/>
      <w:pPr>
        <w:ind w:left="720" w:hanging="720"/>
      </w:pPr>
      <w:rPr>
        <w:rFonts w:eastAsia="Trebuchet MS" w:cs="Times New Roman" w:hint="default"/>
      </w:rPr>
    </w:lvl>
    <w:lvl w:ilvl="2">
      <w:start w:val="1"/>
      <w:numFmt w:val="decimal"/>
      <w:lvlText w:val="%1.%2.%3."/>
      <w:lvlJc w:val="left"/>
      <w:pPr>
        <w:ind w:left="1080" w:hanging="1080"/>
      </w:pPr>
      <w:rPr>
        <w:rFonts w:eastAsia="Trebuchet MS" w:cs="Times New Roman" w:hint="default"/>
      </w:rPr>
    </w:lvl>
    <w:lvl w:ilvl="3">
      <w:start w:val="1"/>
      <w:numFmt w:val="decimal"/>
      <w:lvlText w:val="%1.%2.%3.%4."/>
      <w:lvlJc w:val="left"/>
      <w:pPr>
        <w:ind w:left="1440" w:hanging="1440"/>
      </w:pPr>
      <w:rPr>
        <w:rFonts w:eastAsia="Trebuchet MS" w:cs="Times New Roman" w:hint="default"/>
      </w:rPr>
    </w:lvl>
    <w:lvl w:ilvl="4">
      <w:start w:val="1"/>
      <w:numFmt w:val="decimal"/>
      <w:lvlText w:val="%1.%2.%3.%4.%5."/>
      <w:lvlJc w:val="left"/>
      <w:pPr>
        <w:ind w:left="1800" w:hanging="1800"/>
      </w:pPr>
      <w:rPr>
        <w:rFonts w:eastAsia="Trebuchet MS" w:cs="Times New Roman" w:hint="default"/>
      </w:rPr>
    </w:lvl>
    <w:lvl w:ilvl="5">
      <w:start w:val="1"/>
      <w:numFmt w:val="decimal"/>
      <w:lvlText w:val="%1.%2.%3.%4.%5.%6."/>
      <w:lvlJc w:val="left"/>
      <w:pPr>
        <w:ind w:left="2160" w:hanging="2160"/>
      </w:pPr>
      <w:rPr>
        <w:rFonts w:eastAsia="Trebuchet MS" w:cs="Times New Roman" w:hint="default"/>
      </w:rPr>
    </w:lvl>
    <w:lvl w:ilvl="6">
      <w:start w:val="1"/>
      <w:numFmt w:val="decimal"/>
      <w:lvlText w:val="%1.%2.%3.%4.%5.%6.%7."/>
      <w:lvlJc w:val="left"/>
      <w:pPr>
        <w:ind w:left="2520" w:hanging="2520"/>
      </w:pPr>
      <w:rPr>
        <w:rFonts w:eastAsia="Trebuchet MS" w:cs="Times New Roman" w:hint="default"/>
      </w:rPr>
    </w:lvl>
    <w:lvl w:ilvl="7">
      <w:start w:val="1"/>
      <w:numFmt w:val="decimal"/>
      <w:lvlText w:val="%1.%2.%3.%4.%5.%6.%7.%8."/>
      <w:lvlJc w:val="left"/>
      <w:pPr>
        <w:ind w:left="2880" w:hanging="2880"/>
      </w:pPr>
      <w:rPr>
        <w:rFonts w:eastAsia="Trebuchet MS" w:cs="Times New Roman" w:hint="default"/>
      </w:rPr>
    </w:lvl>
    <w:lvl w:ilvl="8">
      <w:start w:val="1"/>
      <w:numFmt w:val="decimal"/>
      <w:lvlText w:val="%1.%2.%3.%4.%5.%6.%7.%8.%9."/>
      <w:lvlJc w:val="left"/>
      <w:pPr>
        <w:ind w:left="2880" w:hanging="2880"/>
      </w:pPr>
      <w:rPr>
        <w:rFonts w:eastAsia="Trebuchet MS" w:cs="Times New Roman" w:hint="default"/>
      </w:rPr>
    </w:lvl>
  </w:abstractNum>
  <w:abstractNum w:abstractNumId="11">
    <w:nsid w:val="1C0F162D"/>
    <w:multiLevelType w:val="hybridMultilevel"/>
    <w:tmpl w:val="ED1264D0"/>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12">
    <w:nsid w:val="1C872CB1"/>
    <w:multiLevelType w:val="hybridMultilevel"/>
    <w:tmpl w:val="9AFC5C44"/>
    <w:lvl w:ilvl="0" w:tplc="08160001">
      <w:start w:val="1"/>
      <w:numFmt w:val="bullet"/>
      <w:lvlText w:val=""/>
      <w:lvlJc w:val="left"/>
      <w:pPr>
        <w:ind w:left="2136" w:hanging="360"/>
      </w:pPr>
      <w:rPr>
        <w:rFonts w:ascii="Symbol" w:hAnsi="Symbol" w:hint="default"/>
      </w:rPr>
    </w:lvl>
    <w:lvl w:ilvl="1" w:tplc="08160003" w:tentative="1">
      <w:start w:val="1"/>
      <w:numFmt w:val="bullet"/>
      <w:lvlText w:val="o"/>
      <w:lvlJc w:val="left"/>
      <w:pPr>
        <w:ind w:left="2856" w:hanging="360"/>
      </w:pPr>
      <w:rPr>
        <w:rFonts w:ascii="Courier New" w:hAnsi="Courier New" w:cs="Courier New" w:hint="default"/>
      </w:rPr>
    </w:lvl>
    <w:lvl w:ilvl="2" w:tplc="08160005" w:tentative="1">
      <w:start w:val="1"/>
      <w:numFmt w:val="bullet"/>
      <w:lvlText w:val=""/>
      <w:lvlJc w:val="left"/>
      <w:pPr>
        <w:ind w:left="3576" w:hanging="360"/>
      </w:pPr>
      <w:rPr>
        <w:rFonts w:ascii="Wingdings" w:hAnsi="Wingdings" w:hint="default"/>
      </w:rPr>
    </w:lvl>
    <w:lvl w:ilvl="3" w:tplc="08160001" w:tentative="1">
      <w:start w:val="1"/>
      <w:numFmt w:val="bullet"/>
      <w:lvlText w:val=""/>
      <w:lvlJc w:val="left"/>
      <w:pPr>
        <w:ind w:left="4296" w:hanging="360"/>
      </w:pPr>
      <w:rPr>
        <w:rFonts w:ascii="Symbol" w:hAnsi="Symbol" w:hint="default"/>
      </w:rPr>
    </w:lvl>
    <w:lvl w:ilvl="4" w:tplc="08160003" w:tentative="1">
      <w:start w:val="1"/>
      <w:numFmt w:val="bullet"/>
      <w:lvlText w:val="o"/>
      <w:lvlJc w:val="left"/>
      <w:pPr>
        <w:ind w:left="5016" w:hanging="360"/>
      </w:pPr>
      <w:rPr>
        <w:rFonts w:ascii="Courier New" w:hAnsi="Courier New" w:cs="Courier New" w:hint="default"/>
      </w:rPr>
    </w:lvl>
    <w:lvl w:ilvl="5" w:tplc="08160005" w:tentative="1">
      <w:start w:val="1"/>
      <w:numFmt w:val="bullet"/>
      <w:lvlText w:val=""/>
      <w:lvlJc w:val="left"/>
      <w:pPr>
        <w:ind w:left="5736" w:hanging="360"/>
      </w:pPr>
      <w:rPr>
        <w:rFonts w:ascii="Wingdings" w:hAnsi="Wingdings" w:hint="default"/>
      </w:rPr>
    </w:lvl>
    <w:lvl w:ilvl="6" w:tplc="08160001" w:tentative="1">
      <w:start w:val="1"/>
      <w:numFmt w:val="bullet"/>
      <w:lvlText w:val=""/>
      <w:lvlJc w:val="left"/>
      <w:pPr>
        <w:ind w:left="6456" w:hanging="360"/>
      </w:pPr>
      <w:rPr>
        <w:rFonts w:ascii="Symbol" w:hAnsi="Symbol" w:hint="default"/>
      </w:rPr>
    </w:lvl>
    <w:lvl w:ilvl="7" w:tplc="08160003" w:tentative="1">
      <w:start w:val="1"/>
      <w:numFmt w:val="bullet"/>
      <w:lvlText w:val="o"/>
      <w:lvlJc w:val="left"/>
      <w:pPr>
        <w:ind w:left="7176" w:hanging="360"/>
      </w:pPr>
      <w:rPr>
        <w:rFonts w:ascii="Courier New" w:hAnsi="Courier New" w:cs="Courier New" w:hint="default"/>
      </w:rPr>
    </w:lvl>
    <w:lvl w:ilvl="8" w:tplc="08160005" w:tentative="1">
      <w:start w:val="1"/>
      <w:numFmt w:val="bullet"/>
      <w:lvlText w:val=""/>
      <w:lvlJc w:val="left"/>
      <w:pPr>
        <w:ind w:left="7896" w:hanging="360"/>
      </w:pPr>
      <w:rPr>
        <w:rFonts w:ascii="Wingdings" w:hAnsi="Wingdings" w:hint="default"/>
      </w:rPr>
    </w:lvl>
  </w:abstractNum>
  <w:abstractNum w:abstractNumId="13">
    <w:nsid w:val="202A1BC5"/>
    <w:multiLevelType w:val="multilevel"/>
    <w:tmpl w:val="F1DAB73A"/>
    <w:lvl w:ilvl="0">
      <w:start w:val="4"/>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2880" w:hanging="2880"/>
      </w:pPr>
      <w:rPr>
        <w:rFonts w:hint="default"/>
      </w:rPr>
    </w:lvl>
  </w:abstractNum>
  <w:abstractNum w:abstractNumId="14">
    <w:nsid w:val="207B49EB"/>
    <w:multiLevelType w:val="hybridMultilevel"/>
    <w:tmpl w:val="1E088966"/>
    <w:lvl w:ilvl="0" w:tplc="08160017">
      <w:start w:val="1"/>
      <w:numFmt w:val="lowerLetter"/>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5">
    <w:nsid w:val="227642BB"/>
    <w:multiLevelType w:val="hybridMultilevel"/>
    <w:tmpl w:val="7BFCF642"/>
    <w:lvl w:ilvl="0" w:tplc="04090001">
      <w:start w:val="1"/>
      <w:numFmt w:val="bullet"/>
      <w:lvlText w:val=""/>
      <w:lvlJc w:val="left"/>
      <w:pPr>
        <w:ind w:left="643" w:hanging="360"/>
      </w:pPr>
      <w:rPr>
        <w:rFonts w:ascii="Symbol" w:hAnsi="Symbol" w:hint="default"/>
        <w:b w:val="0"/>
        <w:i w:val="0"/>
        <w:sz w:val="24"/>
        <w:szCs w:val="24"/>
      </w:rPr>
    </w:lvl>
    <w:lvl w:ilvl="1" w:tplc="73C0087C">
      <w:start w:val="1"/>
      <w:numFmt w:val="lowerRoman"/>
      <w:lvlText w:val="%2)"/>
      <w:lvlJc w:val="left"/>
      <w:pPr>
        <w:ind w:left="1800" w:hanging="720"/>
      </w:pPr>
      <w:rPr>
        <w:rFonts w:hint="default"/>
      </w:r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6">
    <w:nsid w:val="2281684D"/>
    <w:multiLevelType w:val="hybridMultilevel"/>
    <w:tmpl w:val="4EAC938A"/>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17">
    <w:nsid w:val="236A433F"/>
    <w:multiLevelType w:val="hybridMultilevel"/>
    <w:tmpl w:val="C1D23A32"/>
    <w:lvl w:ilvl="0" w:tplc="C4E2925E">
      <w:start w:val="1"/>
      <w:numFmt w:val="lowerLetter"/>
      <w:lvlText w:val="%1)"/>
      <w:lvlJc w:val="left"/>
      <w:pPr>
        <w:ind w:left="1080" w:hanging="360"/>
      </w:pPr>
      <w:rPr>
        <w:rFonts w:hint="default"/>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8">
    <w:nsid w:val="26AE28F8"/>
    <w:multiLevelType w:val="hybridMultilevel"/>
    <w:tmpl w:val="E3CC9AB6"/>
    <w:lvl w:ilvl="0" w:tplc="08160001">
      <w:start w:val="1"/>
      <w:numFmt w:val="bullet"/>
      <w:lvlText w:val=""/>
      <w:lvlJc w:val="left"/>
      <w:pPr>
        <w:ind w:left="2136" w:hanging="360"/>
      </w:pPr>
      <w:rPr>
        <w:rFonts w:ascii="Symbol" w:hAnsi="Symbol" w:hint="default"/>
      </w:rPr>
    </w:lvl>
    <w:lvl w:ilvl="1" w:tplc="08160003" w:tentative="1">
      <w:start w:val="1"/>
      <w:numFmt w:val="bullet"/>
      <w:lvlText w:val="o"/>
      <w:lvlJc w:val="left"/>
      <w:pPr>
        <w:ind w:left="2856" w:hanging="360"/>
      </w:pPr>
      <w:rPr>
        <w:rFonts w:ascii="Courier New" w:hAnsi="Courier New" w:cs="Courier New" w:hint="default"/>
      </w:rPr>
    </w:lvl>
    <w:lvl w:ilvl="2" w:tplc="08160005" w:tentative="1">
      <w:start w:val="1"/>
      <w:numFmt w:val="bullet"/>
      <w:lvlText w:val=""/>
      <w:lvlJc w:val="left"/>
      <w:pPr>
        <w:ind w:left="3576" w:hanging="360"/>
      </w:pPr>
      <w:rPr>
        <w:rFonts w:ascii="Wingdings" w:hAnsi="Wingdings" w:hint="default"/>
      </w:rPr>
    </w:lvl>
    <w:lvl w:ilvl="3" w:tplc="08160001" w:tentative="1">
      <w:start w:val="1"/>
      <w:numFmt w:val="bullet"/>
      <w:lvlText w:val=""/>
      <w:lvlJc w:val="left"/>
      <w:pPr>
        <w:ind w:left="4296" w:hanging="360"/>
      </w:pPr>
      <w:rPr>
        <w:rFonts w:ascii="Symbol" w:hAnsi="Symbol" w:hint="default"/>
      </w:rPr>
    </w:lvl>
    <w:lvl w:ilvl="4" w:tplc="08160003" w:tentative="1">
      <w:start w:val="1"/>
      <w:numFmt w:val="bullet"/>
      <w:lvlText w:val="o"/>
      <w:lvlJc w:val="left"/>
      <w:pPr>
        <w:ind w:left="5016" w:hanging="360"/>
      </w:pPr>
      <w:rPr>
        <w:rFonts w:ascii="Courier New" w:hAnsi="Courier New" w:cs="Courier New" w:hint="default"/>
      </w:rPr>
    </w:lvl>
    <w:lvl w:ilvl="5" w:tplc="08160005" w:tentative="1">
      <w:start w:val="1"/>
      <w:numFmt w:val="bullet"/>
      <w:lvlText w:val=""/>
      <w:lvlJc w:val="left"/>
      <w:pPr>
        <w:ind w:left="5736" w:hanging="360"/>
      </w:pPr>
      <w:rPr>
        <w:rFonts w:ascii="Wingdings" w:hAnsi="Wingdings" w:hint="default"/>
      </w:rPr>
    </w:lvl>
    <w:lvl w:ilvl="6" w:tplc="08160001" w:tentative="1">
      <w:start w:val="1"/>
      <w:numFmt w:val="bullet"/>
      <w:lvlText w:val=""/>
      <w:lvlJc w:val="left"/>
      <w:pPr>
        <w:ind w:left="6456" w:hanging="360"/>
      </w:pPr>
      <w:rPr>
        <w:rFonts w:ascii="Symbol" w:hAnsi="Symbol" w:hint="default"/>
      </w:rPr>
    </w:lvl>
    <w:lvl w:ilvl="7" w:tplc="08160003" w:tentative="1">
      <w:start w:val="1"/>
      <w:numFmt w:val="bullet"/>
      <w:lvlText w:val="o"/>
      <w:lvlJc w:val="left"/>
      <w:pPr>
        <w:ind w:left="7176" w:hanging="360"/>
      </w:pPr>
      <w:rPr>
        <w:rFonts w:ascii="Courier New" w:hAnsi="Courier New" w:cs="Courier New" w:hint="default"/>
      </w:rPr>
    </w:lvl>
    <w:lvl w:ilvl="8" w:tplc="08160005" w:tentative="1">
      <w:start w:val="1"/>
      <w:numFmt w:val="bullet"/>
      <w:lvlText w:val=""/>
      <w:lvlJc w:val="left"/>
      <w:pPr>
        <w:ind w:left="7896" w:hanging="360"/>
      </w:pPr>
      <w:rPr>
        <w:rFonts w:ascii="Wingdings" w:hAnsi="Wingdings" w:hint="default"/>
      </w:rPr>
    </w:lvl>
  </w:abstractNum>
  <w:abstractNum w:abstractNumId="19">
    <w:nsid w:val="28E62EE6"/>
    <w:multiLevelType w:val="hybridMultilevel"/>
    <w:tmpl w:val="D6643464"/>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20">
    <w:nsid w:val="2BF45CB1"/>
    <w:multiLevelType w:val="hybridMultilevel"/>
    <w:tmpl w:val="8A066C18"/>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21">
    <w:nsid w:val="2D060C66"/>
    <w:multiLevelType w:val="hybridMultilevel"/>
    <w:tmpl w:val="B5866846"/>
    <w:lvl w:ilvl="0" w:tplc="08160005">
      <w:start w:val="1"/>
      <w:numFmt w:val="bullet"/>
      <w:lvlText w:val=""/>
      <w:lvlJc w:val="left"/>
      <w:pPr>
        <w:ind w:left="1080" w:hanging="360"/>
      </w:pPr>
      <w:rPr>
        <w:rFonts w:ascii="Wingdings" w:hAnsi="Wingdings" w:hint="default"/>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22">
    <w:nsid w:val="2F42273B"/>
    <w:multiLevelType w:val="multilevel"/>
    <w:tmpl w:val="7DC673E0"/>
    <w:lvl w:ilvl="0">
      <w:start w:val="3"/>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2880" w:hanging="2880"/>
      </w:pPr>
      <w:rPr>
        <w:rFonts w:hint="default"/>
      </w:rPr>
    </w:lvl>
  </w:abstractNum>
  <w:abstractNum w:abstractNumId="23">
    <w:nsid w:val="317F20BB"/>
    <w:multiLevelType w:val="hybridMultilevel"/>
    <w:tmpl w:val="C45EE400"/>
    <w:lvl w:ilvl="0" w:tplc="A5448A68">
      <w:start w:val="1"/>
      <w:numFmt w:val="decimalZero"/>
      <w:lvlText w:val="%1."/>
      <w:lvlJc w:val="left"/>
      <w:pPr>
        <w:ind w:left="720" w:hanging="360"/>
      </w:pPr>
      <w:rPr>
        <w:rFonts w:hint="default"/>
        <w:b w:val="0"/>
      </w:rPr>
    </w:lvl>
    <w:lvl w:ilvl="1" w:tplc="04090001">
      <w:start w:val="1"/>
      <w:numFmt w:val="bullet"/>
      <w:lvlText w:val=""/>
      <w:lvlJc w:val="left"/>
      <w:pPr>
        <w:ind w:left="1363" w:hanging="360"/>
      </w:pPr>
      <w:rPr>
        <w:rFonts w:ascii="Symbol" w:hAnsi="Symbol" w:hint="default"/>
      </w:r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4">
    <w:nsid w:val="325B1872"/>
    <w:multiLevelType w:val="hybridMultilevel"/>
    <w:tmpl w:val="EAD69B76"/>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25">
    <w:nsid w:val="3A6C706B"/>
    <w:multiLevelType w:val="hybridMultilevel"/>
    <w:tmpl w:val="06A2DFD0"/>
    <w:lvl w:ilvl="0" w:tplc="08160001">
      <w:start w:val="1"/>
      <w:numFmt w:val="bullet"/>
      <w:lvlText w:val=""/>
      <w:lvlJc w:val="left"/>
      <w:pPr>
        <w:ind w:left="1080" w:hanging="360"/>
      </w:pPr>
      <w:rPr>
        <w:rFonts w:ascii="Symbol" w:hAnsi="Symbol" w:hint="default"/>
      </w:rPr>
    </w:lvl>
    <w:lvl w:ilvl="1" w:tplc="08160003">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26">
    <w:nsid w:val="3A993567"/>
    <w:multiLevelType w:val="hybridMultilevel"/>
    <w:tmpl w:val="D9AE8710"/>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27">
    <w:nsid w:val="44A9427A"/>
    <w:multiLevelType w:val="hybridMultilevel"/>
    <w:tmpl w:val="1C4A8CB0"/>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28">
    <w:nsid w:val="4D6A3234"/>
    <w:multiLevelType w:val="hybridMultilevel"/>
    <w:tmpl w:val="7DD6EC6E"/>
    <w:lvl w:ilvl="0" w:tplc="08160001">
      <w:start w:val="1"/>
      <w:numFmt w:val="bullet"/>
      <w:lvlText w:val=""/>
      <w:lvlJc w:val="left"/>
      <w:pPr>
        <w:ind w:left="2136" w:hanging="360"/>
      </w:pPr>
      <w:rPr>
        <w:rFonts w:ascii="Symbol" w:hAnsi="Symbol" w:hint="default"/>
      </w:rPr>
    </w:lvl>
    <w:lvl w:ilvl="1" w:tplc="08160003" w:tentative="1">
      <w:start w:val="1"/>
      <w:numFmt w:val="bullet"/>
      <w:lvlText w:val="o"/>
      <w:lvlJc w:val="left"/>
      <w:pPr>
        <w:ind w:left="2856" w:hanging="360"/>
      </w:pPr>
      <w:rPr>
        <w:rFonts w:ascii="Courier New" w:hAnsi="Courier New" w:cs="Courier New" w:hint="default"/>
      </w:rPr>
    </w:lvl>
    <w:lvl w:ilvl="2" w:tplc="08160005" w:tentative="1">
      <w:start w:val="1"/>
      <w:numFmt w:val="bullet"/>
      <w:lvlText w:val=""/>
      <w:lvlJc w:val="left"/>
      <w:pPr>
        <w:ind w:left="3576" w:hanging="360"/>
      </w:pPr>
      <w:rPr>
        <w:rFonts w:ascii="Wingdings" w:hAnsi="Wingdings" w:hint="default"/>
      </w:rPr>
    </w:lvl>
    <w:lvl w:ilvl="3" w:tplc="08160001" w:tentative="1">
      <w:start w:val="1"/>
      <w:numFmt w:val="bullet"/>
      <w:lvlText w:val=""/>
      <w:lvlJc w:val="left"/>
      <w:pPr>
        <w:ind w:left="4296" w:hanging="360"/>
      </w:pPr>
      <w:rPr>
        <w:rFonts w:ascii="Symbol" w:hAnsi="Symbol" w:hint="default"/>
      </w:rPr>
    </w:lvl>
    <w:lvl w:ilvl="4" w:tplc="08160003" w:tentative="1">
      <w:start w:val="1"/>
      <w:numFmt w:val="bullet"/>
      <w:lvlText w:val="o"/>
      <w:lvlJc w:val="left"/>
      <w:pPr>
        <w:ind w:left="5016" w:hanging="360"/>
      </w:pPr>
      <w:rPr>
        <w:rFonts w:ascii="Courier New" w:hAnsi="Courier New" w:cs="Courier New" w:hint="default"/>
      </w:rPr>
    </w:lvl>
    <w:lvl w:ilvl="5" w:tplc="08160005" w:tentative="1">
      <w:start w:val="1"/>
      <w:numFmt w:val="bullet"/>
      <w:lvlText w:val=""/>
      <w:lvlJc w:val="left"/>
      <w:pPr>
        <w:ind w:left="5736" w:hanging="360"/>
      </w:pPr>
      <w:rPr>
        <w:rFonts w:ascii="Wingdings" w:hAnsi="Wingdings" w:hint="default"/>
      </w:rPr>
    </w:lvl>
    <w:lvl w:ilvl="6" w:tplc="08160001" w:tentative="1">
      <w:start w:val="1"/>
      <w:numFmt w:val="bullet"/>
      <w:lvlText w:val=""/>
      <w:lvlJc w:val="left"/>
      <w:pPr>
        <w:ind w:left="6456" w:hanging="360"/>
      </w:pPr>
      <w:rPr>
        <w:rFonts w:ascii="Symbol" w:hAnsi="Symbol" w:hint="default"/>
      </w:rPr>
    </w:lvl>
    <w:lvl w:ilvl="7" w:tplc="08160003" w:tentative="1">
      <w:start w:val="1"/>
      <w:numFmt w:val="bullet"/>
      <w:lvlText w:val="o"/>
      <w:lvlJc w:val="left"/>
      <w:pPr>
        <w:ind w:left="7176" w:hanging="360"/>
      </w:pPr>
      <w:rPr>
        <w:rFonts w:ascii="Courier New" w:hAnsi="Courier New" w:cs="Courier New" w:hint="default"/>
      </w:rPr>
    </w:lvl>
    <w:lvl w:ilvl="8" w:tplc="08160005" w:tentative="1">
      <w:start w:val="1"/>
      <w:numFmt w:val="bullet"/>
      <w:lvlText w:val=""/>
      <w:lvlJc w:val="left"/>
      <w:pPr>
        <w:ind w:left="7896" w:hanging="360"/>
      </w:pPr>
      <w:rPr>
        <w:rFonts w:ascii="Wingdings" w:hAnsi="Wingdings" w:hint="default"/>
      </w:rPr>
    </w:lvl>
  </w:abstractNum>
  <w:abstractNum w:abstractNumId="29">
    <w:nsid w:val="4E1958E8"/>
    <w:multiLevelType w:val="hybridMultilevel"/>
    <w:tmpl w:val="978C85D4"/>
    <w:lvl w:ilvl="0" w:tplc="FAF41540">
      <w:start w:val="1"/>
      <w:numFmt w:val="low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0">
    <w:nsid w:val="570D485E"/>
    <w:multiLevelType w:val="hybridMultilevel"/>
    <w:tmpl w:val="DFEE5F56"/>
    <w:lvl w:ilvl="0" w:tplc="08160001">
      <w:start w:val="1"/>
      <w:numFmt w:val="bullet"/>
      <w:lvlText w:val=""/>
      <w:lvlJc w:val="left"/>
      <w:pPr>
        <w:ind w:left="862" w:hanging="360"/>
      </w:pPr>
      <w:rPr>
        <w:rFonts w:ascii="Symbol" w:hAnsi="Symbol" w:hint="default"/>
      </w:rPr>
    </w:lvl>
    <w:lvl w:ilvl="1" w:tplc="08160003" w:tentative="1">
      <w:start w:val="1"/>
      <w:numFmt w:val="bullet"/>
      <w:lvlText w:val="o"/>
      <w:lvlJc w:val="left"/>
      <w:pPr>
        <w:ind w:left="1582" w:hanging="360"/>
      </w:pPr>
      <w:rPr>
        <w:rFonts w:ascii="Courier New" w:hAnsi="Courier New" w:cs="Courier New" w:hint="default"/>
      </w:rPr>
    </w:lvl>
    <w:lvl w:ilvl="2" w:tplc="08160005" w:tentative="1">
      <w:start w:val="1"/>
      <w:numFmt w:val="bullet"/>
      <w:lvlText w:val=""/>
      <w:lvlJc w:val="left"/>
      <w:pPr>
        <w:ind w:left="2302" w:hanging="360"/>
      </w:pPr>
      <w:rPr>
        <w:rFonts w:ascii="Wingdings" w:hAnsi="Wingdings" w:hint="default"/>
      </w:rPr>
    </w:lvl>
    <w:lvl w:ilvl="3" w:tplc="08160001" w:tentative="1">
      <w:start w:val="1"/>
      <w:numFmt w:val="bullet"/>
      <w:lvlText w:val=""/>
      <w:lvlJc w:val="left"/>
      <w:pPr>
        <w:ind w:left="3022" w:hanging="360"/>
      </w:pPr>
      <w:rPr>
        <w:rFonts w:ascii="Symbol" w:hAnsi="Symbol" w:hint="default"/>
      </w:rPr>
    </w:lvl>
    <w:lvl w:ilvl="4" w:tplc="08160003" w:tentative="1">
      <w:start w:val="1"/>
      <w:numFmt w:val="bullet"/>
      <w:lvlText w:val="o"/>
      <w:lvlJc w:val="left"/>
      <w:pPr>
        <w:ind w:left="3742" w:hanging="360"/>
      </w:pPr>
      <w:rPr>
        <w:rFonts w:ascii="Courier New" w:hAnsi="Courier New" w:cs="Courier New" w:hint="default"/>
      </w:rPr>
    </w:lvl>
    <w:lvl w:ilvl="5" w:tplc="08160005" w:tentative="1">
      <w:start w:val="1"/>
      <w:numFmt w:val="bullet"/>
      <w:lvlText w:val=""/>
      <w:lvlJc w:val="left"/>
      <w:pPr>
        <w:ind w:left="4462" w:hanging="360"/>
      </w:pPr>
      <w:rPr>
        <w:rFonts w:ascii="Wingdings" w:hAnsi="Wingdings" w:hint="default"/>
      </w:rPr>
    </w:lvl>
    <w:lvl w:ilvl="6" w:tplc="08160001" w:tentative="1">
      <w:start w:val="1"/>
      <w:numFmt w:val="bullet"/>
      <w:lvlText w:val=""/>
      <w:lvlJc w:val="left"/>
      <w:pPr>
        <w:ind w:left="5182" w:hanging="360"/>
      </w:pPr>
      <w:rPr>
        <w:rFonts w:ascii="Symbol" w:hAnsi="Symbol" w:hint="default"/>
      </w:rPr>
    </w:lvl>
    <w:lvl w:ilvl="7" w:tplc="08160003" w:tentative="1">
      <w:start w:val="1"/>
      <w:numFmt w:val="bullet"/>
      <w:lvlText w:val="o"/>
      <w:lvlJc w:val="left"/>
      <w:pPr>
        <w:ind w:left="5902" w:hanging="360"/>
      </w:pPr>
      <w:rPr>
        <w:rFonts w:ascii="Courier New" w:hAnsi="Courier New" w:cs="Courier New" w:hint="default"/>
      </w:rPr>
    </w:lvl>
    <w:lvl w:ilvl="8" w:tplc="08160005" w:tentative="1">
      <w:start w:val="1"/>
      <w:numFmt w:val="bullet"/>
      <w:lvlText w:val=""/>
      <w:lvlJc w:val="left"/>
      <w:pPr>
        <w:ind w:left="6622" w:hanging="360"/>
      </w:pPr>
      <w:rPr>
        <w:rFonts w:ascii="Wingdings" w:hAnsi="Wingdings" w:hint="default"/>
      </w:rPr>
    </w:lvl>
  </w:abstractNum>
  <w:abstractNum w:abstractNumId="31">
    <w:nsid w:val="598C0A2F"/>
    <w:multiLevelType w:val="hybridMultilevel"/>
    <w:tmpl w:val="0F1AAC86"/>
    <w:lvl w:ilvl="0" w:tplc="08160015">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2">
    <w:nsid w:val="629E0453"/>
    <w:multiLevelType w:val="hybridMultilevel"/>
    <w:tmpl w:val="27264214"/>
    <w:lvl w:ilvl="0" w:tplc="08160001">
      <w:start w:val="1"/>
      <w:numFmt w:val="bullet"/>
      <w:lvlText w:val=""/>
      <w:lvlJc w:val="left"/>
      <w:pPr>
        <w:ind w:left="2424" w:hanging="360"/>
      </w:pPr>
      <w:rPr>
        <w:rFonts w:ascii="Symbol" w:hAnsi="Symbol" w:hint="default"/>
      </w:rPr>
    </w:lvl>
    <w:lvl w:ilvl="1" w:tplc="08160003" w:tentative="1">
      <w:start w:val="1"/>
      <w:numFmt w:val="bullet"/>
      <w:lvlText w:val="o"/>
      <w:lvlJc w:val="left"/>
      <w:pPr>
        <w:ind w:left="3144" w:hanging="360"/>
      </w:pPr>
      <w:rPr>
        <w:rFonts w:ascii="Courier New" w:hAnsi="Courier New" w:cs="Courier New" w:hint="default"/>
      </w:rPr>
    </w:lvl>
    <w:lvl w:ilvl="2" w:tplc="08160005" w:tentative="1">
      <w:start w:val="1"/>
      <w:numFmt w:val="bullet"/>
      <w:lvlText w:val=""/>
      <w:lvlJc w:val="left"/>
      <w:pPr>
        <w:ind w:left="3864" w:hanging="360"/>
      </w:pPr>
      <w:rPr>
        <w:rFonts w:ascii="Wingdings" w:hAnsi="Wingdings" w:hint="default"/>
      </w:rPr>
    </w:lvl>
    <w:lvl w:ilvl="3" w:tplc="08160001" w:tentative="1">
      <w:start w:val="1"/>
      <w:numFmt w:val="bullet"/>
      <w:lvlText w:val=""/>
      <w:lvlJc w:val="left"/>
      <w:pPr>
        <w:ind w:left="4584" w:hanging="360"/>
      </w:pPr>
      <w:rPr>
        <w:rFonts w:ascii="Symbol" w:hAnsi="Symbol" w:hint="default"/>
      </w:rPr>
    </w:lvl>
    <w:lvl w:ilvl="4" w:tplc="08160003" w:tentative="1">
      <w:start w:val="1"/>
      <w:numFmt w:val="bullet"/>
      <w:lvlText w:val="o"/>
      <w:lvlJc w:val="left"/>
      <w:pPr>
        <w:ind w:left="5304" w:hanging="360"/>
      </w:pPr>
      <w:rPr>
        <w:rFonts w:ascii="Courier New" w:hAnsi="Courier New" w:cs="Courier New" w:hint="default"/>
      </w:rPr>
    </w:lvl>
    <w:lvl w:ilvl="5" w:tplc="08160005" w:tentative="1">
      <w:start w:val="1"/>
      <w:numFmt w:val="bullet"/>
      <w:lvlText w:val=""/>
      <w:lvlJc w:val="left"/>
      <w:pPr>
        <w:ind w:left="6024" w:hanging="360"/>
      </w:pPr>
      <w:rPr>
        <w:rFonts w:ascii="Wingdings" w:hAnsi="Wingdings" w:hint="default"/>
      </w:rPr>
    </w:lvl>
    <w:lvl w:ilvl="6" w:tplc="08160001" w:tentative="1">
      <w:start w:val="1"/>
      <w:numFmt w:val="bullet"/>
      <w:lvlText w:val=""/>
      <w:lvlJc w:val="left"/>
      <w:pPr>
        <w:ind w:left="6744" w:hanging="360"/>
      </w:pPr>
      <w:rPr>
        <w:rFonts w:ascii="Symbol" w:hAnsi="Symbol" w:hint="default"/>
      </w:rPr>
    </w:lvl>
    <w:lvl w:ilvl="7" w:tplc="08160003" w:tentative="1">
      <w:start w:val="1"/>
      <w:numFmt w:val="bullet"/>
      <w:lvlText w:val="o"/>
      <w:lvlJc w:val="left"/>
      <w:pPr>
        <w:ind w:left="7464" w:hanging="360"/>
      </w:pPr>
      <w:rPr>
        <w:rFonts w:ascii="Courier New" w:hAnsi="Courier New" w:cs="Courier New" w:hint="default"/>
      </w:rPr>
    </w:lvl>
    <w:lvl w:ilvl="8" w:tplc="08160005" w:tentative="1">
      <w:start w:val="1"/>
      <w:numFmt w:val="bullet"/>
      <w:lvlText w:val=""/>
      <w:lvlJc w:val="left"/>
      <w:pPr>
        <w:ind w:left="8184" w:hanging="360"/>
      </w:pPr>
      <w:rPr>
        <w:rFonts w:ascii="Wingdings" w:hAnsi="Wingdings" w:hint="default"/>
      </w:rPr>
    </w:lvl>
  </w:abstractNum>
  <w:abstractNum w:abstractNumId="33">
    <w:nsid w:val="6C4F64A9"/>
    <w:multiLevelType w:val="hybridMultilevel"/>
    <w:tmpl w:val="F62A5BE8"/>
    <w:lvl w:ilvl="0" w:tplc="04090001">
      <w:start w:val="1"/>
      <w:numFmt w:val="bullet"/>
      <w:lvlText w:val=""/>
      <w:lvlJc w:val="left"/>
      <w:pPr>
        <w:ind w:left="1647" w:hanging="360"/>
      </w:pPr>
      <w:rPr>
        <w:rFonts w:ascii="Symbol" w:hAnsi="Symbol" w:hint="default"/>
      </w:rPr>
    </w:lvl>
    <w:lvl w:ilvl="1" w:tplc="04090003" w:tentative="1">
      <w:start w:val="1"/>
      <w:numFmt w:val="bullet"/>
      <w:lvlText w:val="o"/>
      <w:lvlJc w:val="left"/>
      <w:pPr>
        <w:ind w:left="2367" w:hanging="360"/>
      </w:pPr>
      <w:rPr>
        <w:rFonts w:ascii="Courier New" w:hAnsi="Courier New" w:hint="default"/>
      </w:rPr>
    </w:lvl>
    <w:lvl w:ilvl="2" w:tplc="04090005" w:tentative="1">
      <w:start w:val="1"/>
      <w:numFmt w:val="bullet"/>
      <w:lvlText w:val=""/>
      <w:lvlJc w:val="left"/>
      <w:pPr>
        <w:ind w:left="3087" w:hanging="360"/>
      </w:pPr>
      <w:rPr>
        <w:rFonts w:ascii="Wingdings" w:hAnsi="Wingdings" w:hint="default"/>
      </w:rPr>
    </w:lvl>
    <w:lvl w:ilvl="3" w:tplc="04090001" w:tentative="1">
      <w:start w:val="1"/>
      <w:numFmt w:val="bullet"/>
      <w:lvlText w:val=""/>
      <w:lvlJc w:val="left"/>
      <w:pPr>
        <w:ind w:left="3807" w:hanging="360"/>
      </w:pPr>
      <w:rPr>
        <w:rFonts w:ascii="Symbol" w:hAnsi="Symbol" w:hint="default"/>
      </w:rPr>
    </w:lvl>
    <w:lvl w:ilvl="4" w:tplc="04090003" w:tentative="1">
      <w:start w:val="1"/>
      <w:numFmt w:val="bullet"/>
      <w:lvlText w:val="o"/>
      <w:lvlJc w:val="left"/>
      <w:pPr>
        <w:ind w:left="4527" w:hanging="360"/>
      </w:pPr>
      <w:rPr>
        <w:rFonts w:ascii="Courier New" w:hAnsi="Courier New" w:hint="default"/>
      </w:rPr>
    </w:lvl>
    <w:lvl w:ilvl="5" w:tplc="04090005" w:tentative="1">
      <w:start w:val="1"/>
      <w:numFmt w:val="bullet"/>
      <w:lvlText w:val=""/>
      <w:lvlJc w:val="left"/>
      <w:pPr>
        <w:ind w:left="5247" w:hanging="360"/>
      </w:pPr>
      <w:rPr>
        <w:rFonts w:ascii="Wingdings" w:hAnsi="Wingdings" w:hint="default"/>
      </w:rPr>
    </w:lvl>
    <w:lvl w:ilvl="6" w:tplc="04090001" w:tentative="1">
      <w:start w:val="1"/>
      <w:numFmt w:val="bullet"/>
      <w:lvlText w:val=""/>
      <w:lvlJc w:val="left"/>
      <w:pPr>
        <w:ind w:left="5967" w:hanging="360"/>
      </w:pPr>
      <w:rPr>
        <w:rFonts w:ascii="Symbol" w:hAnsi="Symbol" w:hint="default"/>
      </w:rPr>
    </w:lvl>
    <w:lvl w:ilvl="7" w:tplc="04090003" w:tentative="1">
      <w:start w:val="1"/>
      <w:numFmt w:val="bullet"/>
      <w:lvlText w:val="o"/>
      <w:lvlJc w:val="left"/>
      <w:pPr>
        <w:ind w:left="6687" w:hanging="360"/>
      </w:pPr>
      <w:rPr>
        <w:rFonts w:ascii="Courier New" w:hAnsi="Courier New" w:hint="default"/>
      </w:rPr>
    </w:lvl>
    <w:lvl w:ilvl="8" w:tplc="04090005" w:tentative="1">
      <w:start w:val="1"/>
      <w:numFmt w:val="bullet"/>
      <w:lvlText w:val=""/>
      <w:lvlJc w:val="left"/>
      <w:pPr>
        <w:ind w:left="7407" w:hanging="360"/>
      </w:pPr>
      <w:rPr>
        <w:rFonts w:ascii="Wingdings" w:hAnsi="Wingdings" w:hint="default"/>
      </w:rPr>
    </w:lvl>
  </w:abstractNum>
  <w:abstractNum w:abstractNumId="34">
    <w:nsid w:val="70745693"/>
    <w:multiLevelType w:val="multilevel"/>
    <w:tmpl w:val="F9C49B44"/>
    <w:lvl w:ilvl="0">
      <w:start w:val="6"/>
      <w:numFmt w:val="decimal"/>
      <w:lvlText w:val="%1."/>
      <w:lvlJc w:val="left"/>
      <w:pPr>
        <w:ind w:left="540" w:hanging="54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2880" w:hanging="2880"/>
      </w:pPr>
      <w:rPr>
        <w:rFonts w:hint="default"/>
      </w:rPr>
    </w:lvl>
  </w:abstractNum>
  <w:abstractNum w:abstractNumId="35">
    <w:nsid w:val="70E4365E"/>
    <w:multiLevelType w:val="hybridMultilevel"/>
    <w:tmpl w:val="C64E48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3781D6B"/>
    <w:multiLevelType w:val="hybridMultilevel"/>
    <w:tmpl w:val="88104502"/>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7">
    <w:nsid w:val="76D16EDE"/>
    <w:multiLevelType w:val="hybridMultilevel"/>
    <w:tmpl w:val="42923C06"/>
    <w:lvl w:ilvl="0" w:tplc="EB76BCD8">
      <w:start w:val="1"/>
      <w:numFmt w:val="decimal"/>
      <w:lvlText w:val="%1."/>
      <w:lvlJc w:val="left"/>
      <w:pPr>
        <w:ind w:left="1800" w:hanging="360"/>
      </w:pPr>
      <w:rPr>
        <w:rFonts w:hint="default"/>
      </w:rPr>
    </w:lvl>
    <w:lvl w:ilvl="1" w:tplc="08160019" w:tentative="1">
      <w:start w:val="1"/>
      <w:numFmt w:val="lowerLetter"/>
      <w:lvlText w:val="%2."/>
      <w:lvlJc w:val="left"/>
      <w:pPr>
        <w:ind w:left="2520" w:hanging="360"/>
      </w:pPr>
    </w:lvl>
    <w:lvl w:ilvl="2" w:tplc="0816001B" w:tentative="1">
      <w:start w:val="1"/>
      <w:numFmt w:val="lowerRoman"/>
      <w:lvlText w:val="%3."/>
      <w:lvlJc w:val="right"/>
      <w:pPr>
        <w:ind w:left="3240" w:hanging="180"/>
      </w:pPr>
    </w:lvl>
    <w:lvl w:ilvl="3" w:tplc="0816000F" w:tentative="1">
      <w:start w:val="1"/>
      <w:numFmt w:val="decimal"/>
      <w:lvlText w:val="%4."/>
      <w:lvlJc w:val="left"/>
      <w:pPr>
        <w:ind w:left="3960" w:hanging="360"/>
      </w:pPr>
    </w:lvl>
    <w:lvl w:ilvl="4" w:tplc="08160019" w:tentative="1">
      <w:start w:val="1"/>
      <w:numFmt w:val="lowerLetter"/>
      <w:lvlText w:val="%5."/>
      <w:lvlJc w:val="left"/>
      <w:pPr>
        <w:ind w:left="4680" w:hanging="360"/>
      </w:pPr>
    </w:lvl>
    <w:lvl w:ilvl="5" w:tplc="0816001B" w:tentative="1">
      <w:start w:val="1"/>
      <w:numFmt w:val="lowerRoman"/>
      <w:lvlText w:val="%6."/>
      <w:lvlJc w:val="right"/>
      <w:pPr>
        <w:ind w:left="5400" w:hanging="180"/>
      </w:pPr>
    </w:lvl>
    <w:lvl w:ilvl="6" w:tplc="0816000F" w:tentative="1">
      <w:start w:val="1"/>
      <w:numFmt w:val="decimal"/>
      <w:lvlText w:val="%7."/>
      <w:lvlJc w:val="left"/>
      <w:pPr>
        <w:ind w:left="6120" w:hanging="360"/>
      </w:pPr>
    </w:lvl>
    <w:lvl w:ilvl="7" w:tplc="08160019" w:tentative="1">
      <w:start w:val="1"/>
      <w:numFmt w:val="lowerLetter"/>
      <w:lvlText w:val="%8."/>
      <w:lvlJc w:val="left"/>
      <w:pPr>
        <w:ind w:left="6840" w:hanging="360"/>
      </w:pPr>
    </w:lvl>
    <w:lvl w:ilvl="8" w:tplc="0816001B" w:tentative="1">
      <w:start w:val="1"/>
      <w:numFmt w:val="lowerRoman"/>
      <w:lvlText w:val="%9."/>
      <w:lvlJc w:val="right"/>
      <w:pPr>
        <w:ind w:left="7560" w:hanging="180"/>
      </w:pPr>
    </w:lvl>
  </w:abstractNum>
  <w:abstractNum w:abstractNumId="38">
    <w:nsid w:val="7FBB7452"/>
    <w:multiLevelType w:val="hybridMultilevel"/>
    <w:tmpl w:val="8E7CC7E8"/>
    <w:lvl w:ilvl="0" w:tplc="08160001">
      <w:start w:val="1"/>
      <w:numFmt w:val="bullet"/>
      <w:lvlText w:val=""/>
      <w:lvlJc w:val="left"/>
      <w:pPr>
        <w:ind w:left="1069" w:hanging="360"/>
      </w:pPr>
      <w:rPr>
        <w:rFonts w:ascii="Symbol" w:hAnsi="Symbol" w:hint="default"/>
        <w:b w:val="0"/>
        <w:i w:val="0"/>
        <w:sz w:val="24"/>
        <w:szCs w:val="24"/>
      </w:rPr>
    </w:lvl>
    <w:lvl w:ilvl="1" w:tplc="73C0087C">
      <w:start w:val="1"/>
      <w:numFmt w:val="lowerRoman"/>
      <w:lvlText w:val="%2)"/>
      <w:lvlJc w:val="left"/>
      <w:pPr>
        <w:ind w:left="2226" w:hanging="720"/>
      </w:pPr>
      <w:rPr>
        <w:rFonts w:hint="default"/>
      </w:rPr>
    </w:lvl>
    <w:lvl w:ilvl="2" w:tplc="0816001B">
      <w:start w:val="1"/>
      <w:numFmt w:val="lowerRoman"/>
      <w:lvlText w:val="%3."/>
      <w:lvlJc w:val="right"/>
      <w:pPr>
        <w:ind w:left="2586" w:hanging="180"/>
      </w:pPr>
    </w:lvl>
    <w:lvl w:ilvl="3" w:tplc="0816000F">
      <w:start w:val="1"/>
      <w:numFmt w:val="decimal"/>
      <w:lvlText w:val="%4."/>
      <w:lvlJc w:val="left"/>
      <w:pPr>
        <w:ind w:left="3306" w:hanging="360"/>
      </w:pPr>
    </w:lvl>
    <w:lvl w:ilvl="4" w:tplc="08160019" w:tentative="1">
      <w:start w:val="1"/>
      <w:numFmt w:val="lowerLetter"/>
      <w:lvlText w:val="%5."/>
      <w:lvlJc w:val="left"/>
      <w:pPr>
        <w:ind w:left="4026" w:hanging="360"/>
      </w:pPr>
    </w:lvl>
    <w:lvl w:ilvl="5" w:tplc="0816001B" w:tentative="1">
      <w:start w:val="1"/>
      <w:numFmt w:val="lowerRoman"/>
      <w:lvlText w:val="%6."/>
      <w:lvlJc w:val="right"/>
      <w:pPr>
        <w:ind w:left="4746" w:hanging="180"/>
      </w:pPr>
    </w:lvl>
    <w:lvl w:ilvl="6" w:tplc="0816000F" w:tentative="1">
      <w:start w:val="1"/>
      <w:numFmt w:val="decimal"/>
      <w:lvlText w:val="%7."/>
      <w:lvlJc w:val="left"/>
      <w:pPr>
        <w:ind w:left="5466" w:hanging="360"/>
      </w:pPr>
    </w:lvl>
    <w:lvl w:ilvl="7" w:tplc="08160019" w:tentative="1">
      <w:start w:val="1"/>
      <w:numFmt w:val="lowerLetter"/>
      <w:lvlText w:val="%8."/>
      <w:lvlJc w:val="left"/>
      <w:pPr>
        <w:ind w:left="6186" w:hanging="360"/>
      </w:pPr>
    </w:lvl>
    <w:lvl w:ilvl="8" w:tplc="0816001B" w:tentative="1">
      <w:start w:val="1"/>
      <w:numFmt w:val="lowerRoman"/>
      <w:lvlText w:val="%9."/>
      <w:lvlJc w:val="right"/>
      <w:pPr>
        <w:ind w:left="6906" w:hanging="180"/>
      </w:pPr>
    </w:lvl>
  </w:abstractNum>
  <w:num w:numId="1">
    <w:abstractNumId w:val="3"/>
  </w:num>
  <w:num w:numId="2">
    <w:abstractNumId w:val="32"/>
  </w:num>
  <w:num w:numId="3">
    <w:abstractNumId w:val="10"/>
  </w:num>
  <w:num w:numId="4">
    <w:abstractNumId w:val="22"/>
  </w:num>
  <w:num w:numId="5">
    <w:abstractNumId w:val="13"/>
  </w:num>
  <w:num w:numId="6">
    <w:abstractNumId w:val="33"/>
  </w:num>
  <w:num w:numId="7">
    <w:abstractNumId w:val="1"/>
  </w:num>
  <w:num w:numId="8">
    <w:abstractNumId w:val="23"/>
  </w:num>
  <w:num w:numId="9">
    <w:abstractNumId w:val="17"/>
  </w:num>
  <w:num w:numId="10">
    <w:abstractNumId w:val="21"/>
  </w:num>
  <w:num w:numId="11">
    <w:abstractNumId w:val="25"/>
  </w:num>
  <w:num w:numId="12">
    <w:abstractNumId w:val="14"/>
  </w:num>
  <w:num w:numId="13">
    <w:abstractNumId w:val="36"/>
  </w:num>
  <w:num w:numId="14">
    <w:abstractNumId w:val="35"/>
  </w:num>
  <w:num w:numId="15">
    <w:abstractNumId w:val="29"/>
  </w:num>
  <w:num w:numId="16">
    <w:abstractNumId w:val="34"/>
  </w:num>
  <w:num w:numId="17">
    <w:abstractNumId w:val="15"/>
  </w:num>
  <w:num w:numId="18">
    <w:abstractNumId w:val="38"/>
  </w:num>
  <w:num w:numId="19">
    <w:abstractNumId w:val="31"/>
  </w:num>
  <w:num w:numId="20">
    <w:abstractNumId w:val="37"/>
  </w:num>
  <w:num w:numId="21">
    <w:abstractNumId w:val="2"/>
  </w:num>
  <w:num w:numId="22">
    <w:abstractNumId w:val="18"/>
  </w:num>
  <w:num w:numId="23">
    <w:abstractNumId w:val="12"/>
  </w:num>
  <w:num w:numId="24">
    <w:abstractNumId w:val="5"/>
  </w:num>
  <w:num w:numId="25">
    <w:abstractNumId w:val="28"/>
  </w:num>
  <w:num w:numId="26">
    <w:abstractNumId w:val="7"/>
  </w:num>
  <w:num w:numId="27">
    <w:abstractNumId w:val="6"/>
  </w:num>
  <w:num w:numId="28">
    <w:abstractNumId w:val="0"/>
  </w:num>
  <w:num w:numId="29">
    <w:abstractNumId w:val="9"/>
  </w:num>
  <w:num w:numId="30">
    <w:abstractNumId w:val="19"/>
  </w:num>
  <w:num w:numId="31">
    <w:abstractNumId w:val="16"/>
  </w:num>
  <w:num w:numId="32">
    <w:abstractNumId w:val="30"/>
  </w:num>
  <w:num w:numId="33">
    <w:abstractNumId w:val="11"/>
  </w:num>
  <w:num w:numId="34">
    <w:abstractNumId w:val="24"/>
  </w:num>
  <w:num w:numId="35">
    <w:abstractNumId w:val="27"/>
  </w:num>
  <w:num w:numId="36">
    <w:abstractNumId w:val="26"/>
  </w:num>
  <w:num w:numId="37">
    <w:abstractNumId w:val="20"/>
  </w:num>
  <w:num w:numId="38">
    <w:abstractNumId w:val="8"/>
  </w:num>
  <w:num w:numId="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5BB"/>
    <w:rsid w:val="000B1190"/>
    <w:rsid w:val="00332BFC"/>
    <w:rsid w:val="003D0040"/>
    <w:rsid w:val="00691CF2"/>
    <w:rsid w:val="007155D7"/>
    <w:rsid w:val="00872086"/>
    <w:rsid w:val="008D680F"/>
    <w:rsid w:val="00944E5F"/>
    <w:rsid w:val="00C70D14"/>
    <w:rsid w:val="00C865BB"/>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65BB"/>
    <w:pPr>
      <w:spacing w:after="160" w:line="259" w:lineRule="auto"/>
    </w:pPr>
  </w:style>
  <w:style w:type="paragraph" w:styleId="Cabealho2">
    <w:name w:val="heading 2"/>
    <w:basedOn w:val="Normal"/>
    <w:next w:val="Normal"/>
    <w:link w:val="Cabealho2Carcter"/>
    <w:unhideWhenUsed/>
    <w:qFormat/>
    <w:rsid w:val="00C865B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2Carcter">
    <w:name w:val="Cabeçalho 2 Carácter"/>
    <w:basedOn w:val="Tipodeletrapredefinidodopargrafo"/>
    <w:link w:val="Cabealho2"/>
    <w:rsid w:val="00C865BB"/>
    <w:rPr>
      <w:rFonts w:asciiTheme="majorHAnsi" w:eastAsiaTheme="majorEastAsia" w:hAnsiTheme="majorHAnsi" w:cstheme="majorBidi"/>
      <w:b/>
      <w:bCs/>
      <w:color w:val="4F81BD" w:themeColor="accent1"/>
      <w:sz w:val="26"/>
      <w:szCs w:val="26"/>
    </w:rPr>
  </w:style>
  <w:style w:type="paragraph" w:styleId="PargrafodaLista">
    <w:name w:val="List Paragraph"/>
    <w:aliases w:val="Figura,Lista 1,Project Description"/>
    <w:basedOn w:val="Normal"/>
    <w:link w:val="PargrafodaListaCarcter"/>
    <w:uiPriority w:val="34"/>
    <w:qFormat/>
    <w:rsid w:val="00C865BB"/>
    <w:pPr>
      <w:ind w:left="720"/>
      <w:contextualSpacing/>
    </w:pPr>
  </w:style>
  <w:style w:type="character" w:customStyle="1" w:styleId="PargrafodaListaCarcter">
    <w:name w:val="Parágrafo da Lista Carácter"/>
    <w:aliases w:val="Figura Carácter,Lista 1 Carácter,Project Description Carácter"/>
    <w:link w:val="PargrafodaLista"/>
    <w:uiPriority w:val="34"/>
    <w:rsid w:val="00C865BB"/>
  </w:style>
  <w:style w:type="paragraph" w:styleId="Legenda">
    <w:name w:val="caption"/>
    <w:basedOn w:val="Normal"/>
    <w:next w:val="Normal"/>
    <w:uiPriority w:val="35"/>
    <w:unhideWhenUsed/>
    <w:qFormat/>
    <w:rsid w:val="00C865BB"/>
    <w:pPr>
      <w:spacing w:after="200" w:line="240" w:lineRule="auto"/>
    </w:pPr>
    <w:rPr>
      <w:b/>
      <w:bCs/>
      <w:color w:val="4F81BD" w:themeColor="accent1"/>
      <w:sz w:val="18"/>
      <w:szCs w:val="18"/>
    </w:rPr>
  </w:style>
  <w:style w:type="paragraph" w:styleId="Rodap">
    <w:name w:val="footer"/>
    <w:basedOn w:val="Normal"/>
    <w:link w:val="RodapCarcter"/>
    <w:uiPriority w:val="99"/>
    <w:unhideWhenUsed/>
    <w:rsid w:val="00C865BB"/>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C865BB"/>
  </w:style>
  <w:style w:type="paragraph" w:styleId="SemEspaamento">
    <w:name w:val="No Spacing"/>
    <w:uiPriority w:val="1"/>
    <w:qFormat/>
    <w:rsid w:val="00C865BB"/>
    <w:pPr>
      <w:spacing w:after="0" w:line="240" w:lineRule="auto"/>
    </w:pPr>
  </w:style>
  <w:style w:type="paragraph" w:styleId="Textodebalo">
    <w:name w:val="Balloon Text"/>
    <w:basedOn w:val="Normal"/>
    <w:link w:val="TextodebaloCarcter"/>
    <w:uiPriority w:val="99"/>
    <w:semiHidden/>
    <w:unhideWhenUsed/>
    <w:rsid w:val="00C865BB"/>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C865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65BB"/>
    <w:pPr>
      <w:spacing w:after="160" w:line="259" w:lineRule="auto"/>
    </w:pPr>
  </w:style>
  <w:style w:type="paragraph" w:styleId="Cabealho2">
    <w:name w:val="heading 2"/>
    <w:basedOn w:val="Normal"/>
    <w:next w:val="Normal"/>
    <w:link w:val="Cabealho2Carcter"/>
    <w:unhideWhenUsed/>
    <w:qFormat/>
    <w:rsid w:val="00C865B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2Carcter">
    <w:name w:val="Cabeçalho 2 Carácter"/>
    <w:basedOn w:val="Tipodeletrapredefinidodopargrafo"/>
    <w:link w:val="Cabealho2"/>
    <w:rsid w:val="00C865BB"/>
    <w:rPr>
      <w:rFonts w:asciiTheme="majorHAnsi" w:eastAsiaTheme="majorEastAsia" w:hAnsiTheme="majorHAnsi" w:cstheme="majorBidi"/>
      <w:b/>
      <w:bCs/>
      <w:color w:val="4F81BD" w:themeColor="accent1"/>
      <w:sz w:val="26"/>
      <w:szCs w:val="26"/>
    </w:rPr>
  </w:style>
  <w:style w:type="paragraph" w:styleId="PargrafodaLista">
    <w:name w:val="List Paragraph"/>
    <w:aliases w:val="Figura,Lista 1,Project Description"/>
    <w:basedOn w:val="Normal"/>
    <w:link w:val="PargrafodaListaCarcter"/>
    <w:uiPriority w:val="34"/>
    <w:qFormat/>
    <w:rsid w:val="00C865BB"/>
    <w:pPr>
      <w:ind w:left="720"/>
      <w:contextualSpacing/>
    </w:pPr>
  </w:style>
  <w:style w:type="character" w:customStyle="1" w:styleId="PargrafodaListaCarcter">
    <w:name w:val="Parágrafo da Lista Carácter"/>
    <w:aliases w:val="Figura Carácter,Lista 1 Carácter,Project Description Carácter"/>
    <w:link w:val="PargrafodaLista"/>
    <w:uiPriority w:val="34"/>
    <w:rsid w:val="00C865BB"/>
  </w:style>
  <w:style w:type="paragraph" w:styleId="Legenda">
    <w:name w:val="caption"/>
    <w:basedOn w:val="Normal"/>
    <w:next w:val="Normal"/>
    <w:uiPriority w:val="35"/>
    <w:unhideWhenUsed/>
    <w:qFormat/>
    <w:rsid w:val="00C865BB"/>
    <w:pPr>
      <w:spacing w:after="200" w:line="240" w:lineRule="auto"/>
    </w:pPr>
    <w:rPr>
      <w:b/>
      <w:bCs/>
      <w:color w:val="4F81BD" w:themeColor="accent1"/>
      <w:sz w:val="18"/>
      <w:szCs w:val="18"/>
    </w:rPr>
  </w:style>
  <w:style w:type="paragraph" w:styleId="Rodap">
    <w:name w:val="footer"/>
    <w:basedOn w:val="Normal"/>
    <w:link w:val="RodapCarcter"/>
    <w:uiPriority w:val="99"/>
    <w:unhideWhenUsed/>
    <w:rsid w:val="00C865BB"/>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C865BB"/>
  </w:style>
  <w:style w:type="paragraph" w:styleId="SemEspaamento">
    <w:name w:val="No Spacing"/>
    <w:uiPriority w:val="1"/>
    <w:qFormat/>
    <w:rsid w:val="00C865BB"/>
    <w:pPr>
      <w:spacing w:after="0" w:line="240" w:lineRule="auto"/>
    </w:pPr>
  </w:style>
  <w:style w:type="paragraph" w:styleId="Textodebalo">
    <w:name w:val="Balloon Text"/>
    <w:basedOn w:val="Normal"/>
    <w:link w:val="TextodebaloCarcter"/>
    <w:uiPriority w:val="99"/>
    <w:semiHidden/>
    <w:unhideWhenUsed/>
    <w:rsid w:val="00C865BB"/>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C865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18</Pages>
  <Words>5431</Words>
  <Characters>29330</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2016-01-18T10:01:00Z</dcterms:created>
  <dcterms:modified xsi:type="dcterms:W3CDTF">2016-01-18T16:52:00Z</dcterms:modified>
</cp:coreProperties>
</file>